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
      <w:pPr>
        <w:tabs>
          <w:tab w:val="left" w:pos="1980"/>
        </w:tabs>
        <w:adjustRightInd w:val="0"/>
        <w:snapToGrid w:val="0"/>
        <w:spacing w:line="360" w:lineRule="auto"/>
        <w:jc w:val="center"/>
        <w:textAlignment w:val="baseline"/>
        <w:rPr>
          <w:rFonts w:hint="eastAsia" w:ascii="方正小标宋简体" w:hAnsi="黑体" w:eastAsia="方正小标宋简体"/>
          <w:b/>
          <w:sz w:val="40"/>
          <w:szCs w:val="36"/>
        </w:rPr>
      </w:pPr>
    </w:p>
    <w:p>
      <w:pPr>
        <w:tabs>
          <w:tab w:val="left" w:pos="1980"/>
        </w:tabs>
        <w:adjustRightInd w:val="0"/>
        <w:snapToGrid w:val="0"/>
        <w:spacing w:line="360" w:lineRule="auto"/>
        <w:jc w:val="center"/>
        <w:textAlignment w:val="baseline"/>
        <w:rPr>
          <w:rFonts w:hint="eastAsia" w:ascii="方正小标宋简体" w:hAnsi="黑体" w:eastAsia="方正小标宋简体"/>
          <w:b/>
          <w:sz w:val="40"/>
          <w:szCs w:val="36"/>
        </w:rPr>
      </w:pPr>
    </w:p>
    <w:p>
      <w:pPr>
        <w:spacing w:after="156" w:afterLines="50"/>
        <w:jc w:val="center"/>
        <w:outlineLvl w:val="0"/>
        <w:rPr>
          <w:rFonts w:hint="eastAsia" w:ascii="黑体" w:hAnsi="黑体" w:eastAsia="黑体" w:cs="黑体"/>
          <w:b/>
          <w:bCs/>
          <w:sz w:val="44"/>
          <w:szCs w:val="44"/>
        </w:rPr>
      </w:pPr>
      <w:bookmarkStart w:id="0" w:name="_Toc7547"/>
      <w:bookmarkStart w:id="1" w:name="_Toc15557"/>
      <w:bookmarkStart w:id="2" w:name="_Toc21088"/>
      <w:bookmarkStart w:id="3" w:name="_Toc30854"/>
      <w:bookmarkStart w:id="4" w:name="_Toc16992"/>
      <w:bookmarkStart w:id="5" w:name="_Toc2757"/>
      <w:bookmarkStart w:id="6" w:name="_Toc11335"/>
      <w:bookmarkStart w:id="7" w:name="_Toc16629"/>
      <w:r>
        <w:rPr>
          <w:rFonts w:hint="eastAsia" w:ascii="黑体" w:hAnsi="黑体" w:eastAsia="黑体" w:cs="黑体"/>
          <w:b/>
          <w:bCs/>
          <w:sz w:val="44"/>
          <w:szCs w:val="44"/>
        </w:rPr>
        <w:t>2023级电子商务专业</w:t>
      </w:r>
      <w:bookmarkEnd w:id="0"/>
      <w:bookmarkEnd w:id="1"/>
      <w:bookmarkEnd w:id="2"/>
      <w:bookmarkEnd w:id="3"/>
      <w:bookmarkEnd w:id="4"/>
      <w:bookmarkEnd w:id="5"/>
      <w:bookmarkEnd w:id="6"/>
      <w:bookmarkEnd w:id="7"/>
    </w:p>
    <w:p>
      <w:pPr>
        <w:jc w:val="center"/>
        <w:outlineLvl w:val="0"/>
        <w:rPr>
          <w:rFonts w:hint="eastAsia" w:ascii="黑体" w:hAnsi="黑体" w:eastAsia="黑体" w:cs="黑体"/>
          <w:b/>
          <w:bCs/>
          <w:sz w:val="84"/>
          <w:szCs w:val="84"/>
        </w:rPr>
      </w:pPr>
      <w:bookmarkStart w:id="8" w:name="_Toc29234"/>
      <w:bookmarkStart w:id="9" w:name="_Toc17955"/>
      <w:bookmarkStart w:id="10" w:name="_Toc14579"/>
      <w:bookmarkStart w:id="11" w:name="_Toc22581"/>
      <w:bookmarkStart w:id="12" w:name="_Toc21287"/>
      <w:bookmarkStart w:id="13" w:name="_Toc11048"/>
      <w:bookmarkStart w:id="14" w:name="_Toc5666"/>
      <w:bookmarkStart w:id="15" w:name="_Toc28888"/>
      <w:bookmarkStart w:id="16" w:name="_Toc15730"/>
      <w:r>
        <w:rPr>
          <w:rFonts w:hint="eastAsia" w:ascii="黑体" w:hAnsi="黑体" w:eastAsia="黑体" w:cs="黑体"/>
          <w:b/>
          <w:bCs/>
          <w:color w:val="000000" w:themeColor="text1"/>
          <w:spacing w:val="74"/>
          <w:kern w:val="0"/>
          <w:sz w:val="84"/>
          <w:szCs w:val="84"/>
          <w:fitText w:val="5784" w:id="549932"/>
          <w14:textFill>
            <w14:solidFill>
              <w14:schemeClr w14:val="tx1"/>
            </w14:solidFill>
          </w14:textFill>
        </w:rPr>
        <w:t>人才培养方</w:t>
      </w:r>
      <w:r>
        <w:rPr>
          <w:rFonts w:hint="eastAsia" w:ascii="黑体" w:hAnsi="黑体" w:eastAsia="黑体" w:cs="黑体"/>
          <w:b/>
          <w:bCs/>
          <w:color w:val="000000" w:themeColor="text1"/>
          <w:spacing w:val="2"/>
          <w:kern w:val="0"/>
          <w:sz w:val="84"/>
          <w:szCs w:val="84"/>
          <w:fitText w:val="5784" w:id="549932"/>
          <w14:textFill>
            <w14:solidFill>
              <w14:schemeClr w14:val="tx1"/>
            </w14:solidFill>
          </w14:textFill>
        </w:rPr>
        <w:t>案</w:t>
      </w:r>
      <w:bookmarkEnd w:id="8"/>
      <w:bookmarkEnd w:id="9"/>
      <w:bookmarkEnd w:id="10"/>
      <w:bookmarkEnd w:id="11"/>
      <w:bookmarkEnd w:id="12"/>
      <w:bookmarkEnd w:id="13"/>
      <w:bookmarkEnd w:id="14"/>
      <w:bookmarkEnd w:id="15"/>
      <w:bookmarkEnd w:id="16"/>
    </w:p>
    <w:p>
      <w:pPr>
        <w:widowControl/>
        <w:jc w:val="left"/>
        <w:rPr>
          <w:rFonts w:hint="eastAsia" w:ascii="黑体" w:hAnsi="黑体" w:eastAsia="黑体"/>
          <w:b/>
          <w:sz w:val="44"/>
          <w:szCs w:val="44"/>
        </w:rPr>
      </w:pPr>
    </w:p>
    <w:p>
      <w:pPr>
        <w:widowControl/>
        <w:jc w:val="left"/>
        <w:rPr>
          <w:rFonts w:hint="eastAsia" w:ascii="黑体" w:hAnsi="黑体" w:eastAsia="黑体"/>
          <w:b/>
          <w:sz w:val="44"/>
          <w:szCs w:val="44"/>
        </w:rPr>
      </w:pPr>
    </w:p>
    <w:p>
      <w:pPr>
        <w:widowControl/>
        <w:jc w:val="left"/>
        <w:rPr>
          <w:rFonts w:hint="eastAsia" w:ascii="黑体" w:hAnsi="黑体" w:eastAsia="黑体"/>
          <w:b/>
          <w:sz w:val="44"/>
          <w:szCs w:val="44"/>
        </w:rPr>
      </w:pPr>
    </w:p>
    <w:p>
      <w:pPr>
        <w:widowControl/>
        <w:jc w:val="left"/>
        <w:rPr>
          <w:rFonts w:hint="eastAsia" w:ascii="黑体" w:hAnsi="黑体" w:eastAsia="黑体"/>
          <w:b/>
          <w:sz w:val="44"/>
          <w:szCs w:val="44"/>
        </w:rPr>
      </w:pPr>
    </w:p>
    <w:p>
      <w:pPr>
        <w:widowControl/>
        <w:jc w:val="left"/>
        <w:rPr>
          <w:rFonts w:hint="eastAsia" w:ascii="黑体" w:hAnsi="黑体" w:eastAsia="黑体"/>
          <w:b/>
          <w:sz w:val="44"/>
          <w:szCs w:val="44"/>
        </w:rPr>
      </w:pPr>
    </w:p>
    <w:p>
      <w:pPr>
        <w:widowControl/>
        <w:jc w:val="left"/>
        <w:rPr>
          <w:rFonts w:hint="eastAsia" w:ascii="黑体" w:hAnsi="黑体" w:eastAsia="黑体"/>
          <w:b/>
          <w:sz w:val="44"/>
          <w:szCs w:val="44"/>
        </w:rPr>
      </w:pPr>
    </w:p>
    <w:p>
      <w:pPr>
        <w:widowControl/>
        <w:jc w:val="cente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制定时间：2023年7月</w:t>
      </w:r>
    </w:p>
    <w:p>
      <w:pPr>
        <w:widowControl/>
        <w:jc w:val="center"/>
        <w:rPr>
          <w:rFonts w:hint="eastAsia" w:ascii="仿宋_GB2312" w:hAnsi="仿宋_GB2312" w:eastAsia="仿宋_GB2312" w:cs="仿宋_GB2312"/>
          <w:b/>
          <w:sz w:val="44"/>
          <w:szCs w:val="44"/>
        </w:rPr>
      </w:pPr>
      <w:bookmarkStart w:id="83" w:name="_GoBack"/>
      <w:bookmarkEnd w:id="83"/>
    </w:p>
    <w:p>
      <w:pPr>
        <w:widowControl/>
        <w:jc w:val="center"/>
        <w:rPr>
          <w:rFonts w:hint="eastAsia" w:ascii="黑体" w:hAnsi="黑体" w:eastAsia="黑体"/>
          <w:sz w:val="36"/>
          <w:szCs w:val="36"/>
        </w:rPr>
      </w:pPr>
    </w:p>
    <w:p>
      <w:pPr>
        <w:widowControl/>
        <w:jc w:val="center"/>
        <w:rPr>
          <w:rFonts w:hint="eastAsia" w:ascii="黑体" w:hAnsi="黑体" w:eastAsia="黑体"/>
          <w:sz w:val="36"/>
          <w:szCs w:val="36"/>
        </w:rPr>
      </w:pPr>
    </w:p>
    <w:p>
      <w:pPr>
        <w:widowControl/>
        <w:jc w:val="center"/>
        <w:rPr>
          <w:rFonts w:hint="eastAsia" w:ascii="黑体" w:hAnsi="黑体" w:eastAsia="黑体"/>
          <w:sz w:val="36"/>
          <w:szCs w:val="36"/>
        </w:rPr>
      </w:pPr>
    </w:p>
    <w:p>
      <w:pPr>
        <w:widowControl/>
        <w:jc w:val="center"/>
        <w:rPr>
          <w:rFonts w:hint="eastAsia" w:ascii="黑体" w:hAnsi="黑体" w:eastAsia="黑体"/>
          <w:sz w:val="36"/>
          <w:szCs w:val="36"/>
        </w:rPr>
      </w:pPr>
    </w:p>
    <w:p>
      <w:pPr>
        <w:pStyle w:val="5"/>
        <w:ind w:firstLine="0" w:firstLineChars="0"/>
        <w:rPr>
          <w:rFonts w:hint="eastAsia" w:ascii="黑体" w:hAnsi="黑体" w:eastAsia="黑体"/>
          <w:b/>
          <w:sz w:val="44"/>
          <w:szCs w:val="44"/>
        </w:rPr>
        <w:sectPr>
          <w:pgSz w:w="11906" w:h="16838"/>
          <w:pgMar w:top="1440" w:right="1800" w:bottom="1440" w:left="1800" w:header="851" w:footer="624" w:gutter="0"/>
          <w:pgNumType w:start="1"/>
          <w:cols w:space="720" w:num="1"/>
          <w:docGrid w:type="lines" w:linePitch="312" w:charSpace="0"/>
        </w:sectPr>
      </w:pPr>
    </w:p>
    <w:p>
      <w:pPr>
        <w:pStyle w:val="5"/>
        <w:ind w:firstLine="0" w:firstLineChars="0"/>
        <w:rPr>
          <w:rFonts w:hint="eastAsia" w:ascii="黑体" w:hAnsi="黑体" w:eastAsia="黑体"/>
          <w:b/>
          <w:sz w:val="44"/>
          <w:szCs w:val="44"/>
        </w:rPr>
      </w:pPr>
    </w:p>
    <w:sdt>
      <w:sdtPr>
        <w:rPr>
          <w:rFonts w:ascii="宋体" w:hAnsi="宋体"/>
          <w:b/>
          <w:bCs/>
          <w:sz w:val="36"/>
          <w:szCs w:val="36"/>
        </w:rPr>
        <w:id w:val="147468469"/>
        <w15:color w:val="DBDBDB"/>
        <w:docPartObj>
          <w:docPartGallery w:val="Table of Contents"/>
          <w:docPartUnique/>
        </w:docPartObj>
      </w:sdtPr>
      <w:sdtEndPr>
        <w:rPr>
          <w:rFonts w:hint="eastAsia" w:ascii="Calibri" w:hAnsi="Calibri" w:eastAsia="仿宋_GB2312"/>
          <w:b/>
          <w:bCs/>
          <w:sz w:val="21"/>
          <w:szCs w:val="32"/>
        </w:rPr>
      </w:sdtEndPr>
      <w:sdtContent>
        <w:p>
          <w:pPr>
            <w:jc w:val="center"/>
            <w:rPr>
              <w:b/>
              <w:bCs/>
              <w:sz w:val="36"/>
              <w:szCs w:val="36"/>
            </w:rPr>
          </w:pPr>
          <w:r>
            <w:rPr>
              <w:rFonts w:ascii="宋体" w:hAnsi="宋体"/>
              <w:b/>
              <w:bCs/>
              <w:sz w:val="36"/>
              <w:szCs w:val="36"/>
            </w:rPr>
            <w:t>目录</w:t>
          </w:r>
        </w:p>
        <w:p>
          <w:pPr>
            <w:pStyle w:val="8"/>
            <w:tabs>
              <w:tab w:val="right" w:leader="dot" w:pos="8306"/>
            </w:tabs>
          </w:pPr>
          <w:r>
            <w:rPr>
              <w:rFonts w:hint="eastAsia" w:ascii="Calibri" w:hAnsi="Calibri"/>
              <w:sz w:val="28"/>
              <w:szCs w:val="32"/>
            </w:rPr>
            <w:fldChar w:fldCharType="begin"/>
          </w:r>
          <w:r>
            <w:rPr>
              <w:rFonts w:hint="eastAsia" w:ascii="Calibri" w:hAnsi="Calibri"/>
              <w:sz w:val="28"/>
              <w:szCs w:val="32"/>
            </w:rPr>
            <w:instrText xml:space="preserve">TOC \o "1-2" \h \u </w:instrText>
          </w:r>
          <w:r>
            <w:rPr>
              <w:rFonts w:hint="eastAsia" w:ascii="Calibri" w:hAnsi="Calibri"/>
              <w:sz w:val="28"/>
              <w:szCs w:val="32"/>
            </w:rPr>
            <w:fldChar w:fldCharType="separate"/>
          </w:r>
        </w:p>
        <w:p>
          <w:pPr>
            <w:pStyle w:val="8"/>
            <w:tabs>
              <w:tab w:val="right" w:leader="dot" w:pos="8306"/>
            </w:tabs>
            <w:spacing w:line="360" w:lineRule="auto"/>
          </w:pPr>
          <w:r>
            <w:fldChar w:fldCharType="begin"/>
          </w:r>
          <w:r>
            <w:instrText xml:space="preserve"> HYPERLINK \l "_Toc15484" </w:instrText>
          </w:r>
          <w:r>
            <w:fldChar w:fldCharType="separate"/>
          </w:r>
          <w:r>
            <w:rPr>
              <w:rFonts w:hint="eastAsia" w:asciiTheme="minorEastAsia" w:hAnsiTheme="minorEastAsia" w:eastAsiaTheme="minorEastAsia" w:cstheme="minorEastAsia"/>
              <w:b/>
              <w:bCs/>
              <w:sz w:val="22"/>
              <w:szCs w:val="22"/>
            </w:rPr>
            <w:t>一、 专业名称及代码</w:t>
          </w:r>
          <w:r>
            <w:tab/>
          </w:r>
          <w:r>
            <w:fldChar w:fldCharType="begin"/>
          </w:r>
          <w:r>
            <w:instrText xml:space="preserve"> PAGEREF _Toc15484 \h </w:instrText>
          </w:r>
          <w:r>
            <w:fldChar w:fldCharType="separate"/>
          </w:r>
          <w:r>
            <w:t>1</w:t>
          </w:r>
          <w:r>
            <w:fldChar w:fldCharType="end"/>
          </w:r>
          <w:r>
            <w:fldChar w:fldCharType="end"/>
          </w:r>
        </w:p>
        <w:p>
          <w:pPr>
            <w:pStyle w:val="8"/>
            <w:tabs>
              <w:tab w:val="right" w:leader="dot" w:pos="8306"/>
            </w:tabs>
            <w:spacing w:line="360" w:lineRule="auto"/>
          </w:pPr>
          <w:r>
            <w:fldChar w:fldCharType="begin"/>
          </w:r>
          <w:r>
            <w:instrText xml:space="preserve"> HYPERLINK \l "_Toc21905" </w:instrText>
          </w:r>
          <w:r>
            <w:fldChar w:fldCharType="separate"/>
          </w:r>
          <w:r>
            <w:rPr>
              <w:rFonts w:hint="eastAsia" w:asciiTheme="minorEastAsia" w:hAnsiTheme="minorEastAsia" w:eastAsiaTheme="minorEastAsia" w:cstheme="minorEastAsia"/>
              <w:b/>
              <w:bCs/>
              <w:sz w:val="22"/>
              <w:szCs w:val="22"/>
            </w:rPr>
            <w:t>二、 入学要求</w:t>
          </w:r>
          <w:r>
            <w:tab/>
          </w:r>
          <w:r>
            <w:fldChar w:fldCharType="begin"/>
          </w:r>
          <w:r>
            <w:instrText xml:space="preserve"> PAGEREF _Toc21905 \h </w:instrText>
          </w:r>
          <w:r>
            <w:fldChar w:fldCharType="separate"/>
          </w:r>
          <w:r>
            <w:t>1</w:t>
          </w:r>
          <w:r>
            <w:fldChar w:fldCharType="end"/>
          </w:r>
          <w:r>
            <w:fldChar w:fldCharType="end"/>
          </w:r>
        </w:p>
        <w:p>
          <w:pPr>
            <w:pStyle w:val="8"/>
            <w:tabs>
              <w:tab w:val="right" w:leader="dot" w:pos="8306"/>
            </w:tabs>
            <w:spacing w:line="360" w:lineRule="auto"/>
          </w:pPr>
          <w:r>
            <w:fldChar w:fldCharType="begin"/>
          </w:r>
          <w:r>
            <w:instrText xml:space="preserve"> HYPERLINK \l "_Toc30082" </w:instrText>
          </w:r>
          <w:r>
            <w:fldChar w:fldCharType="separate"/>
          </w:r>
          <w:r>
            <w:rPr>
              <w:rFonts w:hint="eastAsia" w:asciiTheme="minorEastAsia" w:hAnsiTheme="minorEastAsia" w:eastAsiaTheme="minorEastAsia" w:cstheme="minorEastAsia"/>
              <w:b/>
              <w:bCs/>
              <w:sz w:val="22"/>
              <w:szCs w:val="22"/>
            </w:rPr>
            <w:t>三、 修业年限</w:t>
          </w:r>
          <w:r>
            <w:tab/>
          </w:r>
          <w:r>
            <w:fldChar w:fldCharType="begin"/>
          </w:r>
          <w:r>
            <w:instrText xml:space="preserve"> PAGEREF _Toc30082 \h </w:instrText>
          </w:r>
          <w:r>
            <w:fldChar w:fldCharType="separate"/>
          </w:r>
          <w:r>
            <w:t>1</w:t>
          </w:r>
          <w:r>
            <w:fldChar w:fldCharType="end"/>
          </w:r>
          <w:r>
            <w:fldChar w:fldCharType="end"/>
          </w:r>
        </w:p>
        <w:p>
          <w:pPr>
            <w:pStyle w:val="8"/>
            <w:tabs>
              <w:tab w:val="right" w:leader="dot" w:pos="8306"/>
            </w:tabs>
            <w:spacing w:line="360" w:lineRule="auto"/>
          </w:pPr>
          <w:r>
            <w:fldChar w:fldCharType="begin"/>
          </w:r>
          <w:r>
            <w:instrText xml:space="preserve"> HYPERLINK \l "_Toc23885" </w:instrText>
          </w:r>
          <w:r>
            <w:fldChar w:fldCharType="separate"/>
          </w:r>
          <w:r>
            <w:rPr>
              <w:rFonts w:hint="eastAsia" w:asciiTheme="minorEastAsia" w:hAnsiTheme="minorEastAsia" w:eastAsiaTheme="minorEastAsia" w:cstheme="minorEastAsia"/>
              <w:b/>
              <w:bCs/>
              <w:sz w:val="22"/>
              <w:szCs w:val="22"/>
            </w:rPr>
            <w:t>四、 职业面向</w:t>
          </w:r>
          <w:r>
            <w:tab/>
          </w:r>
          <w:r>
            <w:fldChar w:fldCharType="begin"/>
          </w:r>
          <w:r>
            <w:instrText xml:space="preserve"> PAGEREF _Toc23885 \h </w:instrText>
          </w:r>
          <w:r>
            <w:fldChar w:fldCharType="separate"/>
          </w:r>
          <w:r>
            <w:t>1</w:t>
          </w:r>
          <w:r>
            <w:fldChar w:fldCharType="end"/>
          </w:r>
          <w:r>
            <w:fldChar w:fldCharType="end"/>
          </w:r>
        </w:p>
        <w:p>
          <w:pPr>
            <w:pStyle w:val="8"/>
            <w:tabs>
              <w:tab w:val="right" w:leader="dot" w:pos="8306"/>
            </w:tabs>
            <w:spacing w:line="360" w:lineRule="auto"/>
          </w:pPr>
          <w:r>
            <w:fldChar w:fldCharType="begin"/>
          </w:r>
          <w:r>
            <w:instrText xml:space="preserve"> HYPERLINK \l "_Toc29570" </w:instrText>
          </w:r>
          <w:r>
            <w:fldChar w:fldCharType="separate"/>
          </w:r>
          <w:r>
            <w:rPr>
              <w:rFonts w:hint="eastAsia" w:asciiTheme="minorEastAsia" w:hAnsiTheme="minorEastAsia" w:eastAsiaTheme="minorEastAsia" w:cstheme="minorEastAsia"/>
              <w:b/>
              <w:bCs/>
              <w:sz w:val="22"/>
              <w:szCs w:val="22"/>
            </w:rPr>
            <w:t>五、 培养目标与培养规格</w:t>
          </w:r>
          <w:r>
            <w:tab/>
          </w:r>
          <w:r>
            <w:fldChar w:fldCharType="begin"/>
          </w:r>
          <w:r>
            <w:instrText xml:space="preserve"> PAGEREF _Toc29570 \h </w:instrText>
          </w:r>
          <w:r>
            <w:fldChar w:fldCharType="separate"/>
          </w:r>
          <w:r>
            <w:t>1</w:t>
          </w:r>
          <w:r>
            <w:fldChar w:fldCharType="end"/>
          </w:r>
          <w:r>
            <w:fldChar w:fldCharType="end"/>
          </w:r>
        </w:p>
        <w:p>
          <w:pPr>
            <w:pStyle w:val="9"/>
            <w:tabs>
              <w:tab w:val="right" w:leader="dot" w:pos="8306"/>
            </w:tabs>
            <w:spacing w:line="360" w:lineRule="auto"/>
          </w:pPr>
          <w:r>
            <w:fldChar w:fldCharType="begin"/>
          </w:r>
          <w:r>
            <w:instrText xml:space="preserve"> HYPERLINK \l "_Toc6868" </w:instrText>
          </w:r>
          <w:r>
            <w:fldChar w:fldCharType="separate"/>
          </w:r>
          <w:r>
            <w:rPr>
              <w:rFonts w:hint="eastAsia" w:asciiTheme="minorEastAsia" w:hAnsiTheme="minorEastAsia" w:eastAsiaTheme="minorEastAsia" w:cstheme="minorEastAsia"/>
              <w:bCs/>
              <w:szCs w:val="24"/>
            </w:rPr>
            <w:t>（一） 培养目标</w:t>
          </w:r>
          <w:r>
            <w:tab/>
          </w:r>
          <w:r>
            <w:fldChar w:fldCharType="begin"/>
          </w:r>
          <w:r>
            <w:instrText xml:space="preserve"> PAGEREF _Toc6868 \h </w:instrText>
          </w:r>
          <w:r>
            <w:fldChar w:fldCharType="separate"/>
          </w:r>
          <w:r>
            <w:t>1</w:t>
          </w:r>
          <w:r>
            <w:fldChar w:fldCharType="end"/>
          </w:r>
          <w:r>
            <w:fldChar w:fldCharType="end"/>
          </w:r>
        </w:p>
        <w:p>
          <w:pPr>
            <w:pStyle w:val="9"/>
            <w:tabs>
              <w:tab w:val="right" w:leader="dot" w:pos="8306"/>
            </w:tabs>
            <w:spacing w:line="360" w:lineRule="auto"/>
          </w:pPr>
          <w:r>
            <w:fldChar w:fldCharType="begin"/>
          </w:r>
          <w:r>
            <w:instrText xml:space="preserve"> HYPERLINK \l "_Toc12026" </w:instrText>
          </w:r>
          <w:r>
            <w:fldChar w:fldCharType="separate"/>
          </w:r>
          <w:r>
            <w:rPr>
              <w:rFonts w:hint="eastAsia" w:asciiTheme="minorEastAsia" w:hAnsiTheme="minorEastAsia" w:eastAsiaTheme="minorEastAsia" w:cstheme="minorEastAsia"/>
              <w:bCs/>
              <w:szCs w:val="24"/>
            </w:rPr>
            <w:t>（二） 培养规格</w:t>
          </w:r>
          <w:r>
            <w:tab/>
          </w:r>
          <w:r>
            <w:fldChar w:fldCharType="begin"/>
          </w:r>
          <w:r>
            <w:instrText xml:space="preserve"> PAGEREF _Toc12026 \h </w:instrText>
          </w:r>
          <w:r>
            <w:fldChar w:fldCharType="separate"/>
          </w:r>
          <w:r>
            <w:t>2</w:t>
          </w:r>
          <w:r>
            <w:fldChar w:fldCharType="end"/>
          </w:r>
          <w:r>
            <w:fldChar w:fldCharType="end"/>
          </w:r>
        </w:p>
        <w:p>
          <w:pPr>
            <w:pStyle w:val="8"/>
            <w:tabs>
              <w:tab w:val="right" w:leader="dot" w:pos="8306"/>
            </w:tabs>
            <w:spacing w:line="360" w:lineRule="auto"/>
          </w:pPr>
          <w:r>
            <w:fldChar w:fldCharType="begin"/>
          </w:r>
          <w:r>
            <w:instrText xml:space="preserve"> HYPERLINK \l "_Toc15461" </w:instrText>
          </w:r>
          <w:r>
            <w:fldChar w:fldCharType="separate"/>
          </w:r>
          <w:r>
            <w:rPr>
              <w:rFonts w:hint="eastAsia" w:asciiTheme="minorEastAsia" w:hAnsiTheme="minorEastAsia" w:eastAsiaTheme="minorEastAsia" w:cstheme="minorEastAsia"/>
              <w:b/>
              <w:bCs/>
              <w:sz w:val="22"/>
              <w:szCs w:val="22"/>
            </w:rPr>
            <w:t>六、 课程设置与要求</w:t>
          </w:r>
          <w:r>
            <w:tab/>
          </w:r>
          <w:r>
            <w:fldChar w:fldCharType="begin"/>
          </w:r>
          <w:r>
            <w:instrText xml:space="preserve"> PAGEREF _Toc15461 \h </w:instrText>
          </w:r>
          <w:r>
            <w:fldChar w:fldCharType="separate"/>
          </w:r>
          <w:r>
            <w:t>3</w:t>
          </w:r>
          <w:r>
            <w:fldChar w:fldCharType="end"/>
          </w:r>
          <w:r>
            <w:fldChar w:fldCharType="end"/>
          </w:r>
        </w:p>
        <w:p>
          <w:pPr>
            <w:pStyle w:val="9"/>
            <w:tabs>
              <w:tab w:val="right" w:leader="dot" w:pos="8306"/>
            </w:tabs>
            <w:spacing w:line="360" w:lineRule="auto"/>
          </w:pPr>
          <w:r>
            <w:fldChar w:fldCharType="begin"/>
          </w:r>
          <w:r>
            <w:instrText xml:space="preserve"> HYPERLINK \l "_Toc15873" </w:instrText>
          </w:r>
          <w:r>
            <w:fldChar w:fldCharType="separate"/>
          </w:r>
          <w:r>
            <w:rPr>
              <w:rFonts w:hint="eastAsia" w:asciiTheme="minorEastAsia" w:hAnsiTheme="minorEastAsia" w:eastAsiaTheme="minorEastAsia" w:cstheme="minorEastAsia"/>
              <w:bCs/>
              <w:szCs w:val="24"/>
            </w:rPr>
            <w:t>（一） 公共基础课程</w:t>
          </w:r>
          <w:r>
            <w:tab/>
          </w:r>
          <w:r>
            <w:fldChar w:fldCharType="begin"/>
          </w:r>
          <w:r>
            <w:instrText xml:space="preserve"> PAGEREF _Toc15873 \h </w:instrText>
          </w:r>
          <w:r>
            <w:fldChar w:fldCharType="separate"/>
          </w:r>
          <w:r>
            <w:t>3</w:t>
          </w:r>
          <w:r>
            <w:fldChar w:fldCharType="end"/>
          </w:r>
          <w:r>
            <w:fldChar w:fldCharType="end"/>
          </w:r>
        </w:p>
        <w:p>
          <w:pPr>
            <w:pStyle w:val="9"/>
            <w:tabs>
              <w:tab w:val="right" w:leader="dot" w:pos="8306"/>
            </w:tabs>
            <w:spacing w:line="360" w:lineRule="auto"/>
          </w:pPr>
          <w:r>
            <w:fldChar w:fldCharType="begin"/>
          </w:r>
          <w:r>
            <w:instrText xml:space="preserve"> HYPERLINK \l "_Toc25922" </w:instrText>
          </w:r>
          <w:r>
            <w:fldChar w:fldCharType="separate"/>
          </w:r>
          <w:r>
            <w:rPr>
              <w:rFonts w:hint="eastAsia" w:asciiTheme="minorEastAsia" w:hAnsiTheme="minorEastAsia" w:eastAsiaTheme="minorEastAsia" w:cstheme="minorEastAsia"/>
              <w:bCs/>
              <w:szCs w:val="24"/>
            </w:rPr>
            <w:t>（二） 专业（技能）课程</w:t>
          </w:r>
          <w:r>
            <w:tab/>
          </w:r>
          <w:r>
            <w:fldChar w:fldCharType="begin"/>
          </w:r>
          <w:r>
            <w:instrText xml:space="preserve"> PAGEREF _Toc25922 \h </w:instrText>
          </w:r>
          <w:r>
            <w:fldChar w:fldCharType="separate"/>
          </w:r>
          <w:r>
            <w:t>7</w:t>
          </w:r>
          <w:r>
            <w:fldChar w:fldCharType="end"/>
          </w:r>
          <w:r>
            <w:fldChar w:fldCharType="end"/>
          </w:r>
        </w:p>
        <w:p>
          <w:pPr>
            <w:pStyle w:val="8"/>
            <w:tabs>
              <w:tab w:val="right" w:leader="dot" w:pos="8306"/>
            </w:tabs>
            <w:spacing w:line="360" w:lineRule="auto"/>
          </w:pPr>
          <w:r>
            <w:fldChar w:fldCharType="begin"/>
          </w:r>
          <w:r>
            <w:instrText xml:space="preserve"> HYPERLINK \l "_Toc11827" </w:instrText>
          </w:r>
          <w:r>
            <w:fldChar w:fldCharType="separate"/>
          </w:r>
          <w:r>
            <w:rPr>
              <w:rFonts w:hint="eastAsia" w:asciiTheme="minorEastAsia" w:hAnsiTheme="minorEastAsia" w:eastAsiaTheme="minorEastAsia" w:cstheme="minorEastAsia"/>
              <w:b/>
              <w:bCs/>
              <w:sz w:val="22"/>
              <w:szCs w:val="22"/>
            </w:rPr>
            <w:t>七、 教学进程总体安排</w:t>
          </w:r>
          <w:r>
            <w:tab/>
          </w:r>
          <w:r>
            <w:fldChar w:fldCharType="begin"/>
          </w:r>
          <w:r>
            <w:instrText xml:space="preserve"> PAGEREF _Toc11827 \h </w:instrText>
          </w:r>
          <w:r>
            <w:fldChar w:fldCharType="separate"/>
          </w:r>
          <w:r>
            <w:t>11</w:t>
          </w:r>
          <w:r>
            <w:fldChar w:fldCharType="end"/>
          </w:r>
          <w:r>
            <w:fldChar w:fldCharType="end"/>
          </w:r>
        </w:p>
        <w:p>
          <w:pPr>
            <w:pStyle w:val="9"/>
            <w:tabs>
              <w:tab w:val="right" w:leader="dot" w:pos="8306"/>
            </w:tabs>
            <w:spacing w:line="360" w:lineRule="auto"/>
          </w:pPr>
          <w:r>
            <w:fldChar w:fldCharType="begin"/>
          </w:r>
          <w:r>
            <w:instrText xml:space="preserve"> HYPERLINK \l "_Toc3701" </w:instrText>
          </w:r>
          <w:r>
            <w:fldChar w:fldCharType="separate"/>
          </w:r>
          <w:r>
            <w:rPr>
              <w:rFonts w:hint="eastAsia" w:asciiTheme="minorEastAsia" w:hAnsiTheme="minorEastAsia" w:eastAsiaTheme="minorEastAsia" w:cstheme="minorEastAsia"/>
              <w:bCs/>
              <w:szCs w:val="24"/>
            </w:rPr>
            <w:t>（一） 教学时间安排</w:t>
          </w:r>
          <w:r>
            <w:tab/>
          </w:r>
          <w:r>
            <w:fldChar w:fldCharType="begin"/>
          </w:r>
          <w:r>
            <w:instrText xml:space="preserve"> PAGEREF _Toc3701 \h </w:instrText>
          </w:r>
          <w:r>
            <w:fldChar w:fldCharType="separate"/>
          </w:r>
          <w:r>
            <w:t>11</w:t>
          </w:r>
          <w:r>
            <w:fldChar w:fldCharType="end"/>
          </w:r>
          <w:r>
            <w:fldChar w:fldCharType="end"/>
          </w:r>
        </w:p>
        <w:p>
          <w:pPr>
            <w:pStyle w:val="9"/>
            <w:tabs>
              <w:tab w:val="right" w:leader="dot" w:pos="8306"/>
            </w:tabs>
            <w:spacing w:line="360" w:lineRule="auto"/>
          </w:pPr>
          <w:r>
            <w:fldChar w:fldCharType="begin"/>
          </w:r>
          <w:r>
            <w:instrText xml:space="preserve"> HYPERLINK \l "_Toc5859" </w:instrText>
          </w:r>
          <w:r>
            <w:fldChar w:fldCharType="separate"/>
          </w:r>
          <w:r>
            <w:rPr>
              <w:rFonts w:hint="eastAsia" w:asciiTheme="minorEastAsia" w:hAnsiTheme="minorEastAsia" w:eastAsiaTheme="minorEastAsia" w:cstheme="minorEastAsia"/>
              <w:bCs/>
              <w:szCs w:val="24"/>
            </w:rPr>
            <w:t>（二） 授课计划安排建议表</w:t>
          </w:r>
          <w:r>
            <w:tab/>
          </w:r>
          <w:r>
            <w:fldChar w:fldCharType="begin"/>
          </w:r>
          <w:r>
            <w:instrText xml:space="preserve"> PAGEREF _Toc5859 \h </w:instrText>
          </w:r>
          <w:r>
            <w:fldChar w:fldCharType="separate"/>
          </w:r>
          <w:r>
            <w:t>12</w:t>
          </w:r>
          <w:r>
            <w:fldChar w:fldCharType="end"/>
          </w:r>
          <w:r>
            <w:fldChar w:fldCharType="end"/>
          </w:r>
        </w:p>
        <w:p>
          <w:pPr>
            <w:pStyle w:val="8"/>
            <w:tabs>
              <w:tab w:val="right" w:leader="dot" w:pos="8306"/>
            </w:tabs>
            <w:spacing w:line="360" w:lineRule="auto"/>
          </w:pPr>
          <w:r>
            <w:fldChar w:fldCharType="begin"/>
          </w:r>
          <w:r>
            <w:instrText xml:space="preserve"> HYPERLINK \l "_Toc12971" </w:instrText>
          </w:r>
          <w:r>
            <w:fldChar w:fldCharType="separate"/>
          </w:r>
          <w:r>
            <w:rPr>
              <w:rFonts w:hint="eastAsia" w:asciiTheme="minorEastAsia" w:hAnsiTheme="minorEastAsia" w:eastAsiaTheme="minorEastAsia" w:cstheme="minorEastAsia"/>
              <w:b/>
              <w:bCs/>
              <w:sz w:val="22"/>
              <w:szCs w:val="22"/>
            </w:rPr>
            <w:t>八、 实施保障</w:t>
          </w:r>
          <w:r>
            <w:tab/>
          </w:r>
          <w:r>
            <w:fldChar w:fldCharType="begin"/>
          </w:r>
          <w:r>
            <w:instrText xml:space="preserve"> PAGEREF _Toc12971 \h </w:instrText>
          </w:r>
          <w:r>
            <w:fldChar w:fldCharType="separate"/>
          </w:r>
          <w:r>
            <w:t>13</w:t>
          </w:r>
          <w:r>
            <w:fldChar w:fldCharType="end"/>
          </w:r>
          <w:r>
            <w:fldChar w:fldCharType="end"/>
          </w:r>
        </w:p>
        <w:p>
          <w:pPr>
            <w:pStyle w:val="9"/>
            <w:tabs>
              <w:tab w:val="right" w:leader="dot" w:pos="8306"/>
            </w:tabs>
            <w:spacing w:line="360" w:lineRule="auto"/>
          </w:pPr>
          <w:r>
            <w:fldChar w:fldCharType="begin"/>
          </w:r>
          <w:r>
            <w:instrText xml:space="preserve"> HYPERLINK \l "_Toc28171" </w:instrText>
          </w:r>
          <w:r>
            <w:fldChar w:fldCharType="separate"/>
          </w:r>
          <w:r>
            <w:rPr>
              <w:rFonts w:hint="eastAsia" w:asciiTheme="minorEastAsia" w:hAnsiTheme="minorEastAsia" w:eastAsiaTheme="minorEastAsia" w:cstheme="minorEastAsia"/>
              <w:bCs/>
              <w:szCs w:val="24"/>
            </w:rPr>
            <w:t>（一） 师资队伍</w:t>
          </w:r>
          <w:r>
            <w:tab/>
          </w:r>
          <w:r>
            <w:fldChar w:fldCharType="begin"/>
          </w:r>
          <w:r>
            <w:instrText xml:space="preserve"> PAGEREF _Toc28171 \h </w:instrText>
          </w:r>
          <w:r>
            <w:fldChar w:fldCharType="separate"/>
          </w:r>
          <w:r>
            <w:t>13</w:t>
          </w:r>
          <w:r>
            <w:fldChar w:fldCharType="end"/>
          </w:r>
          <w:r>
            <w:fldChar w:fldCharType="end"/>
          </w:r>
        </w:p>
        <w:p>
          <w:pPr>
            <w:pStyle w:val="9"/>
            <w:tabs>
              <w:tab w:val="right" w:leader="dot" w:pos="8306"/>
            </w:tabs>
            <w:spacing w:line="360" w:lineRule="auto"/>
          </w:pPr>
          <w:r>
            <w:fldChar w:fldCharType="begin"/>
          </w:r>
          <w:r>
            <w:instrText xml:space="preserve"> HYPERLINK \l "_Toc17907" </w:instrText>
          </w:r>
          <w:r>
            <w:fldChar w:fldCharType="separate"/>
          </w:r>
          <w:r>
            <w:rPr>
              <w:rFonts w:hint="eastAsia" w:asciiTheme="minorEastAsia" w:hAnsiTheme="minorEastAsia" w:eastAsiaTheme="minorEastAsia" w:cstheme="minorEastAsia"/>
              <w:bCs/>
              <w:szCs w:val="24"/>
            </w:rPr>
            <w:t>（二） 教学设施</w:t>
          </w:r>
          <w:r>
            <w:tab/>
          </w:r>
          <w:r>
            <w:fldChar w:fldCharType="begin"/>
          </w:r>
          <w:r>
            <w:instrText xml:space="preserve"> PAGEREF _Toc17907 \h </w:instrText>
          </w:r>
          <w:r>
            <w:fldChar w:fldCharType="separate"/>
          </w:r>
          <w:r>
            <w:t>14</w:t>
          </w:r>
          <w:r>
            <w:fldChar w:fldCharType="end"/>
          </w:r>
          <w:r>
            <w:fldChar w:fldCharType="end"/>
          </w:r>
        </w:p>
        <w:p>
          <w:pPr>
            <w:pStyle w:val="9"/>
            <w:tabs>
              <w:tab w:val="right" w:leader="dot" w:pos="8306"/>
            </w:tabs>
            <w:spacing w:line="360" w:lineRule="auto"/>
          </w:pPr>
          <w:r>
            <w:fldChar w:fldCharType="begin"/>
          </w:r>
          <w:r>
            <w:instrText xml:space="preserve"> HYPERLINK \l "_Toc15762" </w:instrText>
          </w:r>
          <w:r>
            <w:fldChar w:fldCharType="separate"/>
          </w:r>
          <w:r>
            <w:rPr>
              <w:rFonts w:hint="eastAsia" w:asciiTheme="minorEastAsia" w:hAnsiTheme="minorEastAsia" w:eastAsiaTheme="minorEastAsia" w:cstheme="minorEastAsia"/>
              <w:bCs/>
              <w:szCs w:val="24"/>
            </w:rPr>
            <w:t>（三） 教学资源</w:t>
          </w:r>
          <w:r>
            <w:tab/>
          </w:r>
          <w:r>
            <w:fldChar w:fldCharType="begin"/>
          </w:r>
          <w:r>
            <w:instrText xml:space="preserve"> PAGEREF _Toc15762 \h </w:instrText>
          </w:r>
          <w:r>
            <w:fldChar w:fldCharType="separate"/>
          </w:r>
          <w:r>
            <w:t>16</w:t>
          </w:r>
          <w:r>
            <w:fldChar w:fldCharType="end"/>
          </w:r>
          <w:r>
            <w:fldChar w:fldCharType="end"/>
          </w:r>
        </w:p>
        <w:p>
          <w:pPr>
            <w:pStyle w:val="9"/>
            <w:tabs>
              <w:tab w:val="right" w:leader="dot" w:pos="8306"/>
            </w:tabs>
            <w:spacing w:line="360" w:lineRule="auto"/>
          </w:pPr>
          <w:r>
            <w:fldChar w:fldCharType="begin"/>
          </w:r>
          <w:r>
            <w:instrText xml:space="preserve"> HYPERLINK \l "_Toc16482" </w:instrText>
          </w:r>
          <w:r>
            <w:fldChar w:fldCharType="separate"/>
          </w:r>
          <w:r>
            <w:rPr>
              <w:rFonts w:hint="eastAsia" w:asciiTheme="minorEastAsia" w:hAnsiTheme="minorEastAsia" w:eastAsiaTheme="minorEastAsia" w:cstheme="minorEastAsia"/>
              <w:bCs/>
              <w:szCs w:val="24"/>
            </w:rPr>
            <w:t>（四） 教学方法</w:t>
          </w:r>
          <w:r>
            <w:tab/>
          </w:r>
          <w:r>
            <w:fldChar w:fldCharType="begin"/>
          </w:r>
          <w:r>
            <w:instrText xml:space="preserve"> PAGEREF _Toc16482 \h </w:instrText>
          </w:r>
          <w:r>
            <w:fldChar w:fldCharType="separate"/>
          </w:r>
          <w:r>
            <w:t>17</w:t>
          </w:r>
          <w:r>
            <w:fldChar w:fldCharType="end"/>
          </w:r>
          <w:r>
            <w:fldChar w:fldCharType="end"/>
          </w:r>
        </w:p>
        <w:p>
          <w:pPr>
            <w:pStyle w:val="9"/>
            <w:tabs>
              <w:tab w:val="right" w:leader="dot" w:pos="8306"/>
            </w:tabs>
            <w:spacing w:line="360" w:lineRule="auto"/>
          </w:pPr>
          <w:r>
            <w:fldChar w:fldCharType="begin"/>
          </w:r>
          <w:r>
            <w:instrText xml:space="preserve"> HYPERLINK \l "_Toc986" </w:instrText>
          </w:r>
          <w:r>
            <w:fldChar w:fldCharType="separate"/>
          </w:r>
          <w:r>
            <w:rPr>
              <w:rFonts w:hint="eastAsia" w:asciiTheme="minorEastAsia" w:hAnsiTheme="minorEastAsia" w:eastAsiaTheme="minorEastAsia" w:cstheme="minorEastAsia"/>
              <w:bCs/>
              <w:szCs w:val="24"/>
            </w:rPr>
            <w:t>（五） 学习评价</w:t>
          </w:r>
          <w:r>
            <w:tab/>
          </w:r>
          <w:r>
            <w:fldChar w:fldCharType="begin"/>
          </w:r>
          <w:r>
            <w:instrText xml:space="preserve"> PAGEREF _Toc986 \h </w:instrText>
          </w:r>
          <w:r>
            <w:fldChar w:fldCharType="separate"/>
          </w:r>
          <w:r>
            <w:t>18</w:t>
          </w:r>
          <w:r>
            <w:fldChar w:fldCharType="end"/>
          </w:r>
          <w:r>
            <w:fldChar w:fldCharType="end"/>
          </w:r>
        </w:p>
        <w:p>
          <w:pPr>
            <w:pStyle w:val="9"/>
            <w:tabs>
              <w:tab w:val="right" w:leader="dot" w:pos="8306"/>
            </w:tabs>
            <w:spacing w:line="360" w:lineRule="auto"/>
          </w:pPr>
          <w:r>
            <w:fldChar w:fldCharType="begin"/>
          </w:r>
          <w:r>
            <w:instrText xml:space="preserve"> HYPERLINK \l "_Toc31467" </w:instrText>
          </w:r>
          <w:r>
            <w:fldChar w:fldCharType="separate"/>
          </w:r>
          <w:r>
            <w:rPr>
              <w:rFonts w:hint="eastAsia" w:asciiTheme="minorEastAsia" w:hAnsiTheme="minorEastAsia" w:eastAsiaTheme="minorEastAsia" w:cstheme="minorEastAsia"/>
              <w:bCs/>
              <w:szCs w:val="24"/>
            </w:rPr>
            <w:t>（六） 质量管理</w:t>
          </w:r>
          <w:r>
            <w:tab/>
          </w:r>
          <w:r>
            <w:fldChar w:fldCharType="begin"/>
          </w:r>
          <w:r>
            <w:instrText xml:space="preserve"> PAGEREF _Toc31467 \h </w:instrText>
          </w:r>
          <w:r>
            <w:fldChar w:fldCharType="separate"/>
          </w:r>
          <w:r>
            <w:t>19</w:t>
          </w:r>
          <w:r>
            <w:fldChar w:fldCharType="end"/>
          </w:r>
          <w:r>
            <w:fldChar w:fldCharType="end"/>
          </w:r>
        </w:p>
        <w:p>
          <w:pPr>
            <w:pStyle w:val="8"/>
            <w:tabs>
              <w:tab w:val="right" w:leader="dot" w:pos="8306"/>
            </w:tabs>
            <w:spacing w:line="360" w:lineRule="auto"/>
          </w:pPr>
          <w:r>
            <w:fldChar w:fldCharType="begin"/>
          </w:r>
          <w:r>
            <w:instrText xml:space="preserve"> HYPERLINK \l "_Toc8635" </w:instrText>
          </w:r>
          <w:r>
            <w:fldChar w:fldCharType="separate"/>
          </w:r>
          <w:r>
            <w:rPr>
              <w:rFonts w:hint="eastAsia" w:asciiTheme="minorEastAsia" w:hAnsiTheme="minorEastAsia" w:eastAsiaTheme="minorEastAsia" w:cstheme="minorEastAsia"/>
              <w:b/>
              <w:bCs/>
              <w:sz w:val="22"/>
              <w:szCs w:val="22"/>
            </w:rPr>
            <w:t>九、 毕业要求</w:t>
          </w:r>
          <w:r>
            <w:tab/>
          </w:r>
          <w:r>
            <w:fldChar w:fldCharType="begin"/>
          </w:r>
          <w:r>
            <w:instrText xml:space="preserve"> PAGEREF _Toc8635 \h </w:instrText>
          </w:r>
          <w:r>
            <w:fldChar w:fldCharType="separate"/>
          </w:r>
          <w:r>
            <w:t>19</w:t>
          </w:r>
          <w:r>
            <w:fldChar w:fldCharType="end"/>
          </w:r>
          <w:r>
            <w:fldChar w:fldCharType="end"/>
          </w:r>
        </w:p>
        <w:p>
          <w:pPr>
            <w:pStyle w:val="9"/>
            <w:tabs>
              <w:tab w:val="right" w:leader="dot" w:pos="8306"/>
            </w:tabs>
            <w:spacing w:line="360" w:lineRule="auto"/>
          </w:pPr>
          <w:r>
            <w:fldChar w:fldCharType="begin"/>
          </w:r>
          <w:r>
            <w:instrText xml:space="preserve"> HYPERLINK \l "_Toc22513" </w:instrText>
          </w:r>
          <w:r>
            <w:fldChar w:fldCharType="separate"/>
          </w:r>
          <w:r>
            <w:rPr>
              <w:rFonts w:hint="eastAsia" w:asciiTheme="minorEastAsia" w:hAnsiTheme="minorEastAsia" w:eastAsiaTheme="minorEastAsia" w:cstheme="minorEastAsia"/>
              <w:bCs/>
              <w:szCs w:val="24"/>
            </w:rPr>
            <w:t>（一） 学业考核要求</w:t>
          </w:r>
          <w:r>
            <w:tab/>
          </w:r>
          <w:r>
            <w:fldChar w:fldCharType="begin"/>
          </w:r>
          <w:r>
            <w:instrText xml:space="preserve"> PAGEREF _Toc22513 \h </w:instrText>
          </w:r>
          <w:r>
            <w:fldChar w:fldCharType="separate"/>
          </w:r>
          <w:r>
            <w:t>19</w:t>
          </w:r>
          <w:r>
            <w:fldChar w:fldCharType="end"/>
          </w:r>
          <w:r>
            <w:fldChar w:fldCharType="end"/>
          </w:r>
        </w:p>
        <w:p>
          <w:pPr>
            <w:pStyle w:val="9"/>
            <w:tabs>
              <w:tab w:val="right" w:leader="dot" w:pos="8306"/>
            </w:tabs>
            <w:spacing w:line="360" w:lineRule="auto"/>
          </w:pPr>
          <w:r>
            <w:fldChar w:fldCharType="begin"/>
          </w:r>
          <w:r>
            <w:instrText xml:space="preserve"> HYPERLINK \l "_Toc2387" </w:instrText>
          </w:r>
          <w:r>
            <w:fldChar w:fldCharType="separate"/>
          </w:r>
          <w:r>
            <w:rPr>
              <w:rFonts w:hint="eastAsia" w:asciiTheme="minorEastAsia" w:hAnsiTheme="minorEastAsia" w:eastAsiaTheme="minorEastAsia" w:cstheme="minorEastAsia"/>
              <w:bCs/>
              <w:szCs w:val="24"/>
            </w:rPr>
            <w:t>（二） 证书考取要求</w:t>
          </w:r>
          <w:r>
            <w:tab/>
          </w:r>
          <w:r>
            <w:fldChar w:fldCharType="begin"/>
          </w:r>
          <w:r>
            <w:instrText xml:space="preserve"> PAGEREF _Toc2387 \h </w:instrText>
          </w:r>
          <w:r>
            <w:fldChar w:fldCharType="separate"/>
          </w:r>
          <w:r>
            <w:t>20</w:t>
          </w:r>
          <w:r>
            <w:fldChar w:fldCharType="end"/>
          </w:r>
          <w:r>
            <w:fldChar w:fldCharType="end"/>
          </w:r>
        </w:p>
        <w:p>
          <w:pPr>
            <w:pStyle w:val="8"/>
            <w:tabs>
              <w:tab w:val="right" w:leader="dot" w:pos="8296"/>
            </w:tabs>
            <w:spacing w:line="600" w:lineRule="exact"/>
            <w:rPr>
              <w:rFonts w:ascii="Calibri" w:hAnsi="Calibri"/>
              <w:sz w:val="28"/>
              <w:szCs w:val="32"/>
            </w:rPr>
          </w:pPr>
          <w:r>
            <w:rPr>
              <w:rFonts w:hint="eastAsia" w:ascii="Calibri" w:hAnsi="Calibri"/>
              <w:szCs w:val="32"/>
            </w:rPr>
            <w:fldChar w:fldCharType="end"/>
          </w:r>
        </w:p>
      </w:sdtContent>
    </w:sdt>
    <w:p>
      <w:pPr>
        <w:pStyle w:val="8"/>
        <w:tabs>
          <w:tab w:val="right" w:leader="dot" w:pos="8296"/>
        </w:tabs>
        <w:spacing w:line="600" w:lineRule="exact"/>
        <w:rPr>
          <w:rFonts w:ascii="Calibri" w:hAnsi="Calibri"/>
          <w:sz w:val="28"/>
          <w:szCs w:val="32"/>
        </w:rPr>
      </w:pPr>
    </w:p>
    <w:p>
      <w:pPr>
        <w:pStyle w:val="2"/>
        <w:numPr>
          <w:ilvl w:val="0"/>
          <w:numId w:val="1"/>
        </w:numPr>
        <w:snapToGrid w:val="0"/>
        <w:spacing w:before="0" w:after="0" w:line="360" w:lineRule="auto"/>
        <w:rPr>
          <w:rFonts w:ascii="黑体" w:hAnsi="Times New Roman"/>
          <w:sz w:val="28"/>
          <w:szCs w:val="28"/>
        </w:rPr>
        <w:sectPr>
          <w:footerReference r:id="rId3" w:type="default"/>
          <w:pgSz w:w="11906" w:h="16838"/>
          <w:pgMar w:top="1440" w:right="1800" w:bottom="1440" w:left="1800" w:header="851" w:footer="624" w:gutter="0"/>
          <w:pgNumType w:start="1"/>
          <w:cols w:space="720" w:num="1"/>
          <w:docGrid w:type="lines" w:linePitch="312" w:charSpace="0"/>
        </w:sectPr>
      </w:pPr>
      <w:bookmarkStart w:id="17" w:name="_Toc530755368"/>
      <w:bookmarkStart w:id="18" w:name="_Toc15484"/>
      <w:bookmarkStart w:id="19" w:name="_Toc135493310"/>
    </w:p>
    <w:p>
      <w:pPr>
        <w:pStyle w:val="2"/>
        <w:numPr>
          <w:ilvl w:val="0"/>
          <w:numId w:val="1"/>
        </w:numPr>
        <w:snapToGrid w:val="0"/>
        <w:spacing w:before="0" w:after="0" w:line="360" w:lineRule="auto"/>
        <w:rPr>
          <w:rFonts w:ascii="黑体" w:hAnsi="Times New Roman"/>
          <w:sz w:val="28"/>
          <w:szCs w:val="28"/>
        </w:rPr>
      </w:pPr>
      <w:r>
        <w:rPr>
          <w:rFonts w:hint="eastAsia" w:ascii="黑体" w:hAnsi="Times New Roman"/>
          <w:sz w:val="28"/>
          <w:szCs w:val="28"/>
        </w:rPr>
        <w:t>专业名称及代码</w:t>
      </w:r>
      <w:bookmarkEnd w:id="17"/>
      <w:bookmarkEnd w:id="18"/>
      <w:bookmarkEnd w:id="19"/>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专业名称：电子商务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专业代码：730701</w:t>
      </w:r>
    </w:p>
    <w:p>
      <w:pPr>
        <w:pStyle w:val="2"/>
        <w:numPr>
          <w:ilvl w:val="0"/>
          <w:numId w:val="1"/>
        </w:numPr>
        <w:snapToGrid w:val="0"/>
        <w:spacing w:before="0" w:after="0" w:line="360" w:lineRule="auto"/>
        <w:rPr>
          <w:rFonts w:ascii="黑体" w:hAnsi="Times New Roman"/>
          <w:sz w:val="28"/>
          <w:szCs w:val="28"/>
        </w:rPr>
      </w:pPr>
      <w:bookmarkStart w:id="20" w:name="_Toc530755369"/>
      <w:bookmarkStart w:id="21" w:name="_Toc21905"/>
      <w:bookmarkStart w:id="22" w:name="_Toc135493311"/>
      <w:r>
        <w:rPr>
          <w:rFonts w:hint="eastAsia" w:ascii="黑体" w:hAnsi="Times New Roman"/>
          <w:sz w:val="28"/>
          <w:szCs w:val="28"/>
        </w:rPr>
        <w:t>入学要求</w:t>
      </w:r>
      <w:bookmarkEnd w:id="20"/>
      <w:bookmarkEnd w:id="21"/>
      <w:bookmarkEnd w:id="22"/>
    </w:p>
    <w:p>
      <w:pPr>
        <w:spacing w:line="360" w:lineRule="auto"/>
        <w:ind w:firstLine="480" w:firstLineChars="200"/>
        <w:rPr>
          <w:rFonts w:hint="eastAsia" w:asciiTheme="minorEastAsia" w:hAnsiTheme="minorEastAsia" w:eastAsiaTheme="minorEastAsia" w:cstheme="minorEastAsia"/>
          <w:sz w:val="24"/>
          <w:szCs w:val="24"/>
        </w:rPr>
      </w:pPr>
      <w:bookmarkStart w:id="23" w:name="_Toc530755370"/>
      <w:r>
        <w:rPr>
          <w:rFonts w:hint="eastAsia" w:asciiTheme="minorEastAsia" w:hAnsiTheme="minorEastAsia" w:eastAsiaTheme="minorEastAsia" w:cstheme="minorEastAsia"/>
          <w:sz w:val="24"/>
          <w:szCs w:val="24"/>
        </w:rPr>
        <w:t>初级中学应届毕业生或具备同等学力者。</w:t>
      </w:r>
    </w:p>
    <w:p>
      <w:pPr>
        <w:pStyle w:val="2"/>
        <w:numPr>
          <w:ilvl w:val="0"/>
          <w:numId w:val="1"/>
        </w:numPr>
        <w:snapToGrid w:val="0"/>
        <w:spacing w:before="0" w:after="0" w:line="360" w:lineRule="auto"/>
        <w:rPr>
          <w:rFonts w:ascii="黑体" w:hAnsi="Times New Roman"/>
          <w:sz w:val="28"/>
          <w:szCs w:val="28"/>
        </w:rPr>
      </w:pPr>
      <w:bookmarkStart w:id="24" w:name="_Toc30082"/>
      <w:bookmarkStart w:id="25" w:name="_Toc135493312"/>
      <w:r>
        <w:rPr>
          <w:rFonts w:hint="eastAsia" w:ascii="黑体" w:hAnsi="Times New Roman"/>
          <w:sz w:val="28"/>
          <w:szCs w:val="28"/>
        </w:rPr>
        <w:t>修业年限</w:t>
      </w:r>
      <w:bookmarkEnd w:id="23"/>
      <w:bookmarkEnd w:id="24"/>
      <w:bookmarkEnd w:id="25"/>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三年</w:t>
      </w:r>
    </w:p>
    <w:p>
      <w:pPr>
        <w:pStyle w:val="2"/>
        <w:numPr>
          <w:ilvl w:val="0"/>
          <w:numId w:val="1"/>
        </w:numPr>
        <w:snapToGrid w:val="0"/>
        <w:spacing w:before="0" w:after="0" w:line="360" w:lineRule="auto"/>
        <w:rPr>
          <w:rFonts w:ascii="黑体" w:hAnsi="Times New Roman"/>
          <w:sz w:val="28"/>
          <w:szCs w:val="28"/>
        </w:rPr>
      </w:pPr>
      <w:bookmarkStart w:id="26" w:name="_Toc530755371"/>
      <w:bookmarkStart w:id="27" w:name="_Toc23885"/>
      <w:bookmarkStart w:id="28" w:name="_Toc135493313"/>
      <w:r>
        <w:rPr>
          <w:rFonts w:hint="eastAsia" w:ascii="黑体" w:hAnsi="Times New Roman"/>
          <w:sz w:val="28"/>
          <w:szCs w:val="28"/>
        </w:rPr>
        <w:t>职业面向</w:t>
      </w:r>
      <w:bookmarkEnd w:id="26"/>
      <w:bookmarkEnd w:id="27"/>
      <w:bookmarkEnd w:id="28"/>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面向电子商务师、互联网营销师、市场营销专业人员、直播销售、营销员等职业，对应店铺运营助理、新媒体运营助理、直播销售员、直播辅助、网络营销推广专员、新媒体营销专员、视频创推员、客服专员等岗位。对应的岗位、职业资格证书及职业能力表如下所示。</w:t>
      </w:r>
    </w:p>
    <w:p>
      <w:pPr>
        <w:pStyle w:val="4"/>
        <w:spacing w:line="360" w:lineRule="auto"/>
        <w:ind w:left="0" w:leftChars="0"/>
        <w:jc w:val="center"/>
        <w:rPr>
          <w:rFonts w:hint="eastAsia" w:asciiTheme="minorEastAsia" w:hAnsiTheme="minorEastAsia" w:eastAsiaTheme="minorEastAsia" w:cstheme="minorEastAsia"/>
          <w:sz w:val="24"/>
          <w:szCs w:val="24"/>
        </w:rPr>
      </w:pPr>
      <w:r>
        <w:rPr>
          <w:rFonts w:hint="eastAsia" w:ascii="方正仿宋简体" w:hAnsi="方正仿宋简体" w:eastAsia="方正仿宋简体" w:cs="方正仿宋简体"/>
          <w:sz w:val="24"/>
          <w:szCs w:val="24"/>
        </w:rPr>
        <w:t>表1 职业能力表</w:t>
      </w:r>
    </w:p>
    <w:tbl>
      <w:tblPr>
        <w:tblStyle w:val="11"/>
        <w:tblpPr w:leftFromText="180" w:rightFromText="180" w:vertAnchor="text" w:horzAnchor="margin" w:tblpXSpec="center" w:tblpY="67"/>
        <w:tblW w:w="9647" w:type="dxa"/>
        <w:tblInd w:w="0" w:type="dxa"/>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fixed"/>
        <w:tblCellMar>
          <w:top w:w="0" w:type="dxa"/>
          <w:left w:w="108" w:type="dxa"/>
          <w:bottom w:w="0" w:type="dxa"/>
          <w:right w:w="108" w:type="dxa"/>
        </w:tblCellMar>
      </w:tblPr>
      <w:tblGrid>
        <w:gridCol w:w="1017"/>
        <w:gridCol w:w="1307"/>
        <w:gridCol w:w="1413"/>
        <w:gridCol w:w="1987"/>
        <w:gridCol w:w="2013"/>
        <w:gridCol w:w="1910"/>
      </w:tblGrid>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fixed"/>
          <w:tblCellMar>
            <w:top w:w="0" w:type="dxa"/>
            <w:left w:w="108" w:type="dxa"/>
            <w:bottom w:w="0" w:type="dxa"/>
            <w:right w:w="108" w:type="dxa"/>
          </w:tblCellMar>
        </w:tblPrEx>
        <w:trPr>
          <w:trHeight w:val="550" w:hRule="atLeast"/>
        </w:trPr>
        <w:tc>
          <w:tcPr>
            <w:tcW w:w="1017" w:type="dxa"/>
            <w:shd w:val="clear" w:color="auto" w:fill="DEEBF7"/>
            <w:vAlign w:val="center"/>
          </w:tcPr>
          <w:p>
            <w:pPr>
              <w:spacing w:line="2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所属专业大类</w:t>
            </w:r>
          </w:p>
          <w:p>
            <w:pPr>
              <w:spacing w:line="2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（代码）</w:t>
            </w:r>
          </w:p>
        </w:tc>
        <w:tc>
          <w:tcPr>
            <w:tcW w:w="1307" w:type="dxa"/>
            <w:shd w:val="clear" w:color="auto" w:fill="DEEBF7"/>
            <w:vAlign w:val="center"/>
          </w:tcPr>
          <w:p>
            <w:pPr>
              <w:spacing w:line="2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所属专业类</w:t>
            </w:r>
          </w:p>
          <w:p>
            <w:pPr>
              <w:spacing w:line="2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（代码）</w:t>
            </w:r>
          </w:p>
        </w:tc>
        <w:tc>
          <w:tcPr>
            <w:tcW w:w="1413" w:type="dxa"/>
            <w:shd w:val="clear" w:color="auto" w:fill="DEEBF7"/>
            <w:vAlign w:val="center"/>
          </w:tcPr>
          <w:p>
            <w:pPr>
              <w:spacing w:line="2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对应行业</w:t>
            </w:r>
          </w:p>
          <w:p>
            <w:pPr>
              <w:spacing w:line="2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（代码）</w:t>
            </w:r>
          </w:p>
        </w:tc>
        <w:tc>
          <w:tcPr>
            <w:tcW w:w="1987" w:type="dxa"/>
            <w:shd w:val="clear" w:color="auto" w:fill="DEEBF7"/>
            <w:vAlign w:val="center"/>
          </w:tcPr>
          <w:p>
            <w:pPr>
              <w:spacing w:line="2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主要职业类别</w:t>
            </w:r>
          </w:p>
          <w:p>
            <w:pPr>
              <w:spacing w:line="2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（代码）</w:t>
            </w:r>
          </w:p>
        </w:tc>
        <w:tc>
          <w:tcPr>
            <w:tcW w:w="2013" w:type="dxa"/>
            <w:shd w:val="clear" w:color="auto" w:fill="DEEBF7"/>
            <w:vAlign w:val="center"/>
          </w:tcPr>
          <w:p>
            <w:pPr>
              <w:spacing w:line="2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主要岗位群或技术领域举例</w:t>
            </w:r>
          </w:p>
        </w:tc>
        <w:tc>
          <w:tcPr>
            <w:tcW w:w="1910" w:type="dxa"/>
            <w:shd w:val="clear" w:color="auto" w:fill="DEEBF7"/>
            <w:vAlign w:val="center"/>
          </w:tcPr>
          <w:p>
            <w:pPr>
              <w:spacing w:line="2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职业类证书举例</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fixed"/>
          <w:tblCellMar>
            <w:top w:w="0" w:type="dxa"/>
            <w:left w:w="108" w:type="dxa"/>
            <w:bottom w:w="0" w:type="dxa"/>
            <w:right w:w="108" w:type="dxa"/>
          </w:tblCellMar>
        </w:tblPrEx>
        <w:trPr>
          <w:trHeight w:val="1480" w:hRule="atLeast"/>
        </w:trPr>
        <w:tc>
          <w:tcPr>
            <w:tcW w:w="1017" w:type="dxa"/>
            <w:vAlign w:val="center"/>
          </w:tcPr>
          <w:p>
            <w:pPr>
              <w:spacing w:line="2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财经商贸大类</w:t>
            </w:r>
          </w:p>
          <w:p>
            <w:pPr>
              <w:spacing w:line="2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（73）</w:t>
            </w:r>
          </w:p>
        </w:tc>
        <w:tc>
          <w:tcPr>
            <w:tcW w:w="1307" w:type="dxa"/>
            <w:vAlign w:val="center"/>
          </w:tcPr>
          <w:p>
            <w:pPr>
              <w:spacing w:line="2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电子商务类</w:t>
            </w:r>
          </w:p>
          <w:p>
            <w:pPr>
              <w:spacing w:line="2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（7307）</w:t>
            </w:r>
          </w:p>
        </w:tc>
        <w:tc>
          <w:tcPr>
            <w:tcW w:w="1413" w:type="dxa"/>
            <w:vAlign w:val="center"/>
          </w:tcPr>
          <w:p>
            <w:pPr>
              <w:spacing w:line="2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互联网和相关服务（64）、批发业（51）、零售业（52）</w:t>
            </w:r>
          </w:p>
        </w:tc>
        <w:tc>
          <w:tcPr>
            <w:tcW w:w="1987" w:type="dxa"/>
            <w:vAlign w:val="center"/>
          </w:tcPr>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电子商务师（4-01-06-01）、</w:t>
            </w:r>
          </w:p>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互联网营销师（4-01-06-02）、</w:t>
            </w:r>
          </w:p>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市场营销专业人员（2-06-07-02）、</w:t>
            </w:r>
          </w:p>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采购员（4-01-01-00）、</w:t>
            </w:r>
          </w:p>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营销员（</w:t>
            </w:r>
            <w:r>
              <w:rPr>
                <w:rFonts w:asciiTheme="minorEastAsia" w:hAnsiTheme="minorEastAsia" w:eastAsiaTheme="minorEastAsia" w:cstheme="minorEastAsia"/>
                <w:szCs w:val="21"/>
              </w:rPr>
              <w:t>4-01-02-01</w:t>
            </w:r>
            <w:r>
              <w:rPr>
                <w:rFonts w:hint="eastAsia" w:asciiTheme="minorEastAsia" w:hAnsiTheme="minorEastAsia" w:eastAsiaTheme="minorEastAsia" w:cstheme="minorEastAsia"/>
                <w:szCs w:val="21"/>
              </w:rPr>
              <w:t>）</w:t>
            </w:r>
          </w:p>
        </w:tc>
        <w:tc>
          <w:tcPr>
            <w:tcW w:w="2013" w:type="dxa"/>
            <w:shd w:val="clear" w:color="auto" w:fill="auto"/>
            <w:vAlign w:val="center"/>
          </w:tcPr>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店铺运营助理</w:t>
            </w:r>
          </w:p>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新媒体运营助理</w:t>
            </w:r>
          </w:p>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网络营销推广专员</w:t>
            </w:r>
          </w:p>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新媒体营销专员</w:t>
            </w:r>
          </w:p>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直播销售员</w:t>
            </w:r>
          </w:p>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视频创推员</w:t>
            </w:r>
          </w:p>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客服专员</w:t>
            </w:r>
          </w:p>
        </w:tc>
        <w:tc>
          <w:tcPr>
            <w:tcW w:w="1910" w:type="dxa"/>
            <w:vAlign w:val="center"/>
          </w:tcPr>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1+X电子商务数据分析职业技能等级证书（初级）</w:t>
            </w:r>
          </w:p>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电子商务师</w:t>
            </w:r>
          </w:p>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（四级/五级）</w:t>
            </w:r>
          </w:p>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1+X新媒体运营职业技能等级证书（初级）</w:t>
            </w:r>
          </w:p>
        </w:tc>
      </w:tr>
    </w:tbl>
    <w:p>
      <w:pPr>
        <w:rPr>
          <w:rFonts w:hint="eastAsia" w:ascii="黑体" w:hAnsi="黑体" w:eastAsia="黑体" w:cs="黑体"/>
        </w:rPr>
      </w:pPr>
    </w:p>
    <w:p>
      <w:pPr>
        <w:pStyle w:val="2"/>
        <w:numPr>
          <w:ilvl w:val="0"/>
          <w:numId w:val="1"/>
        </w:numPr>
        <w:snapToGrid w:val="0"/>
        <w:spacing w:before="0" w:after="0" w:line="360" w:lineRule="auto"/>
        <w:rPr>
          <w:rFonts w:ascii="黑体" w:hAnsi="Times New Roman"/>
          <w:sz w:val="28"/>
          <w:szCs w:val="28"/>
        </w:rPr>
      </w:pPr>
      <w:bookmarkStart w:id="29" w:name="_Toc530755372"/>
      <w:bookmarkStart w:id="30" w:name="_Toc135493314"/>
      <w:bookmarkStart w:id="31" w:name="_Toc29570"/>
      <w:r>
        <w:rPr>
          <w:rFonts w:hint="eastAsia" w:ascii="黑体" w:hAnsi="Times New Roman"/>
          <w:sz w:val="28"/>
          <w:szCs w:val="28"/>
        </w:rPr>
        <w:t>培养目标</w:t>
      </w:r>
      <w:bookmarkEnd w:id="29"/>
      <w:bookmarkEnd w:id="30"/>
      <w:r>
        <w:rPr>
          <w:rFonts w:hint="eastAsia" w:ascii="黑体" w:hAnsi="Times New Roman"/>
          <w:sz w:val="28"/>
          <w:szCs w:val="28"/>
        </w:rPr>
        <w:t>与培养规格</w:t>
      </w:r>
      <w:bookmarkEnd w:id="31"/>
    </w:p>
    <w:p>
      <w:pPr>
        <w:numPr>
          <w:ilvl w:val="0"/>
          <w:numId w:val="2"/>
        </w:numPr>
        <w:spacing w:line="360" w:lineRule="auto"/>
        <w:outlineLvl w:val="1"/>
        <w:rPr>
          <w:rFonts w:hint="eastAsia" w:asciiTheme="minorEastAsia" w:hAnsiTheme="minorEastAsia" w:eastAsiaTheme="minorEastAsia" w:cstheme="minorEastAsia"/>
          <w:b/>
          <w:bCs/>
          <w:sz w:val="24"/>
          <w:szCs w:val="24"/>
        </w:rPr>
      </w:pPr>
      <w:bookmarkStart w:id="32" w:name="_Toc6868"/>
      <w:r>
        <w:rPr>
          <w:rFonts w:hint="eastAsia" w:asciiTheme="minorEastAsia" w:hAnsiTheme="minorEastAsia" w:eastAsiaTheme="minorEastAsia" w:cstheme="minorEastAsia"/>
          <w:b/>
          <w:bCs/>
          <w:sz w:val="24"/>
          <w:szCs w:val="24"/>
        </w:rPr>
        <w:t>培养目标</w:t>
      </w:r>
      <w:bookmarkEnd w:id="32"/>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专业培养能够践行社会主义核心价值观，德智体美劳全面发展，具有良好的人文素养、科学素养、职业道德和精益求精的工匠精神；掌握扎实的科学文化基础、电子商务基础、营销基础、商品零售、数据采集与分析等知识；具备商品拍摄与素材编辑、店铺和账户日常维护、运营数据采集、营销推广执行、直播销售、视觉设计制作、客户咨询服务等能力；能够从事店铺运营辅助、新媒体运营辅助、网络推广、新媒体营销执行、直播销售、直播辅助、视频创推、客户服务等工作的技术技能人才。</w:t>
      </w:r>
    </w:p>
    <w:p>
      <w:pPr>
        <w:numPr>
          <w:ilvl w:val="0"/>
          <w:numId w:val="2"/>
        </w:numPr>
        <w:spacing w:line="360" w:lineRule="auto"/>
        <w:outlineLvl w:val="1"/>
        <w:rPr>
          <w:rFonts w:hint="eastAsia" w:asciiTheme="minorEastAsia" w:hAnsiTheme="minorEastAsia" w:eastAsiaTheme="minorEastAsia" w:cstheme="minorEastAsia"/>
          <w:b/>
          <w:bCs/>
          <w:sz w:val="24"/>
          <w:szCs w:val="24"/>
        </w:rPr>
      </w:pPr>
      <w:bookmarkStart w:id="33" w:name="_Toc135493315"/>
      <w:bookmarkStart w:id="34" w:name="_Toc12026"/>
      <w:r>
        <w:rPr>
          <w:rFonts w:hint="eastAsia" w:asciiTheme="minorEastAsia" w:hAnsiTheme="minorEastAsia" w:eastAsiaTheme="minorEastAsia" w:cstheme="minorEastAsia"/>
          <w:b/>
          <w:bCs/>
          <w:sz w:val="24"/>
          <w:szCs w:val="24"/>
        </w:rPr>
        <w:t>培养规格</w:t>
      </w:r>
      <w:bookmarkEnd w:id="33"/>
      <w:bookmarkEnd w:id="34"/>
    </w:p>
    <w:p>
      <w:pPr>
        <w:spacing w:line="360" w:lineRule="auto"/>
        <w:ind w:firstLine="480" w:firstLineChars="200"/>
        <w:rPr>
          <w:rFonts w:hint="eastAsia" w:ascii="楷体_GB2312" w:hAnsi="楷体_GB2312" w:eastAsia="楷体_GB2312" w:cs="楷体_GB2312"/>
          <w:sz w:val="24"/>
          <w:szCs w:val="24"/>
        </w:rPr>
      </w:pPr>
      <w:r>
        <w:rPr>
          <w:rFonts w:hint="eastAsia" w:asciiTheme="minorEastAsia" w:hAnsiTheme="minorEastAsia" w:eastAsiaTheme="minorEastAsia" w:cstheme="minorEastAsia"/>
          <w:sz w:val="24"/>
          <w:szCs w:val="24"/>
        </w:rPr>
        <w:t>本专业毕业生应具有以下素养、专业知识和技能：</w:t>
      </w:r>
    </w:p>
    <w:p>
      <w:pPr>
        <w:pStyle w:val="3"/>
        <w:widowControl w:val="0"/>
        <w:numPr>
          <w:ilvl w:val="0"/>
          <w:numId w:val="3"/>
        </w:numPr>
        <w:spacing w:line="360" w:lineRule="auto"/>
        <w:jc w:val="both"/>
        <w:rPr>
          <w:rFonts w:hint="eastAsia" w:ascii="楷体" w:hAnsi="楷体" w:eastAsia="楷体" w:cs="楷体"/>
          <w:bCs w:val="0"/>
          <w:kern w:val="2"/>
          <w:sz w:val="24"/>
          <w:szCs w:val="28"/>
        </w:rPr>
      </w:pPr>
      <w:r>
        <w:rPr>
          <w:rFonts w:hint="eastAsia" w:ascii="楷体" w:hAnsi="楷体" w:eastAsia="楷体" w:cs="楷体"/>
          <w:bCs w:val="0"/>
          <w:kern w:val="2"/>
          <w:sz w:val="24"/>
          <w:szCs w:val="28"/>
        </w:rPr>
        <w:t>素质目标</w:t>
      </w:r>
    </w:p>
    <w:p>
      <w:pPr>
        <w:numPr>
          <w:ilvl w:val="0"/>
          <w:numId w:val="4"/>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坚定拥护中国共产党领导和中国特色社会主义制度，以习近平新时代中国特色社会主义思想为指导，践行社会主义核心价值观；</w:t>
      </w:r>
    </w:p>
    <w:p>
      <w:pPr>
        <w:numPr>
          <w:ilvl w:val="0"/>
          <w:numId w:val="4"/>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具有坚定的理想信念、深厚的爱国情感和中华民族自豪感；</w:t>
      </w:r>
    </w:p>
    <w:p>
      <w:pPr>
        <w:numPr>
          <w:ilvl w:val="0"/>
          <w:numId w:val="4"/>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具有诚实守信的职业道德和互联网安全意识，遵守电子商务相关的法律法规；</w:t>
      </w:r>
    </w:p>
    <w:p>
      <w:pPr>
        <w:numPr>
          <w:ilvl w:val="0"/>
          <w:numId w:val="4"/>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具有在互联网上从事电子商务活动的思维及营销意识；</w:t>
      </w:r>
    </w:p>
    <w:p>
      <w:pPr>
        <w:numPr>
          <w:ilvl w:val="0"/>
          <w:numId w:val="4"/>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具有良好的沟通表达能力、团队合作精神、创业意识和创新精神；</w:t>
      </w:r>
    </w:p>
    <w:p>
      <w:pPr>
        <w:numPr>
          <w:ilvl w:val="0"/>
          <w:numId w:val="4"/>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具备一定的质量意识、专业意识、工匠精神；</w:t>
      </w:r>
    </w:p>
    <w:p>
      <w:pPr>
        <w:numPr>
          <w:ilvl w:val="0"/>
          <w:numId w:val="4"/>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具备一定的计算思维、数字化社会责任感和数字素养；</w:t>
      </w:r>
    </w:p>
    <w:p>
      <w:pPr>
        <w:numPr>
          <w:ilvl w:val="0"/>
          <w:numId w:val="4"/>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具备与本专业职业发展相适应的劳动素养、劳动技能、担当精神和社会责任感，具有热爱劳动人民，珍惜劳动成果，助力乡村振兴，建设家乡的意识。</w:t>
      </w:r>
    </w:p>
    <w:p>
      <w:pPr>
        <w:pStyle w:val="3"/>
        <w:widowControl w:val="0"/>
        <w:numPr>
          <w:ilvl w:val="0"/>
          <w:numId w:val="3"/>
        </w:numPr>
        <w:spacing w:line="360" w:lineRule="auto"/>
        <w:jc w:val="both"/>
        <w:rPr>
          <w:rFonts w:hint="eastAsia" w:ascii="楷体" w:hAnsi="楷体" w:eastAsia="楷体" w:cs="楷体"/>
          <w:bCs w:val="0"/>
          <w:kern w:val="2"/>
          <w:sz w:val="24"/>
          <w:szCs w:val="28"/>
        </w:rPr>
      </w:pPr>
      <w:r>
        <w:rPr>
          <w:rFonts w:hint="eastAsia" w:ascii="楷体" w:hAnsi="楷体" w:eastAsia="楷体" w:cs="楷体"/>
          <w:bCs w:val="0"/>
          <w:kern w:val="2"/>
          <w:sz w:val="24"/>
          <w:szCs w:val="28"/>
        </w:rPr>
        <w:t>知识目标</w:t>
      </w:r>
    </w:p>
    <w:p>
      <w:pPr>
        <w:pStyle w:val="15"/>
        <w:numPr>
          <w:ilvl w:val="0"/>
          <w:numId w:val="5"/>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掌握与本专业从事职业活动相关的电子商务法律法规、互联网交易安全、质量管理等相关知识与方法；</w:t>
      </w:r>
    </w:p>
    <w:p>
      <w:pPr>
        <w:pStyle w:val="15"/>
        <w:numPr>
          <w:ilvl w:val="0"/>
          <w:numId w:val="5"/>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掌握计算机应用、网络技术的基本理论，电子商务的基本理论以及新技术、新业态、新模式、创新创业相关知识；</w:t>
      </w:r>
    </w:p>
    <w:p>
      <w:pPr>
        <w:pStyle w:val="15"/>
        <w:numPr>
          <w:ilvl w:val="0"/>
          <w:numId w:val="5"/>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掌握主流电子商务平台的运营规则和推广方式，网店运营规范与流程的相关知识；</w:t>
      </w:r>
    </w:p>
    <w:p>
      <w:pPr>
        <w:pStyle w:val="15"/>
        <w:numPr>
          <w:ilvl w:val="0"/>
          <w:numId w:val="5"/>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掌握市场分析、消费者行为分析、商务数据分析及营销策划的方法；</w:t>
      </w:r>
    </w:p>
    <w:p>
      <w:pPr>
        <w:pStyle w:val="15"/>
        <w:numPr>
          <w:ilvl w:val="0"/>
          <w:numId w:val="5"/>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掌握利用P</w:t>
      </w:r>
      <w:r>
        <w:rPr>
          <w:rFonts w:hint="eastAsia" w:asciiTheme="minorEastAsia" w:hAnsiTheme="minorEastAsia" w:eastAsiaTheme="minorEastAsia" w:cstheme="minorEastAsia"/>
          <w:sz w:val="24"/>
          <w:szCs w:val="24"/>
          <w:lang w:val="en-US" w:eastAsia="zh-CN"/>
        </w:rPr>
        <w:t>hotoshop</w:t>
      </w:r>
      <w:r>
        <w:rPr>
          <w:rFonts w:hint="eastAsia" w:asciiTheme="minorEastAsia" w:hAnsiTheme="minorEastAsia" w:eastAsiaTheme="minorEastAsia" w:cstheme="minorEastAsia"/>
          <w:sz w:val="24"/>
          <w:szCs w:val="24"/>
        </w:rPr>
        <w:t>、剪映等软件进行图形图像及视频处理的方法；</w:t>
      </w:r>
    </w:p>
    <w:p>
      <w:pPr>
        <w:pStyle w:val="15"/>
        <w:numPr>
          <w:ilvl w:val="0"/>
          <w:numId w:val="5"/>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掌握客户服务与管理的基本知识与方法；</w:t>
      </w:r>
    </w:p>
    <w:p>
      <w:pPr>
        <w:pStyle w:val="15"/>
        <w:numPr>
          <w:ilvl w:val="0"/>
          <w:numId w:val="5"/>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熟知国家乡村振兴战略政策要求，了解本市传统农产品知识。</w:t>
      </w:r>
    </w:p>
    <w:p>
      <w:pPr>
        <w:pStyle w:val="15"/>
        <w:numPr>
          <w:ilvl w:val="0"/>
          <w:numId w:val="5"/>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掌握主流新媒体运营的相关知识，能够完成内容策划与制作并发布内容。</w:t>
      </w:r>
    </w:p>
    <w:p>
      <w:pPr>
        <w:pStyle w:val="3"/>
        <w:widowControl w:val="0"/>
        <w:numPr>
          <w:ilvl w:val="0"/>
          <w:numId w:val="3"/>
        </w:numPr>
        <w:spacing w:line="360" w:lineRule="auto"/>
        <w:jc w:val="both"/>
        <w:rPr>
          <w:rFonts w:hint="eastAsia" w:ascii="楷体" w:hAnsi="楷体" w:eastAsia="楷体" w:cs="楷体"/>
          <w:bCs w:val="0"/>
          <w:kern w:val="2"/>
          <w:sz w:val="24"/>
          <w:szCs w:val="28"/>
        </w:rPr>
      </w:pPr>
      <w:r>
        <w:rPr>
          <w:rFonts w:hint="eastAsia" w:ascii="楷体" w:hAnsi="楷体" w:eastAsia="楷体" w:cs="楷体"/>
          <w:bCs w:val="0"/>
          <w:kern w:val="2"/>
          <w:sz w:val="24"/>
          <w:szCs w:val="28"/>
        </w:rPr>
        <w:t>能力目标</w:t>
      </w:r>
    </w:p>
    <w:p>
      <w:pPr>
        <w:pStyle w:val="15"/>
        <w:numPr>
          <w:ilvl w:val="0"/>
          <w:numId w:val="6"/>
        </w:numPr>
        <w:spacing w:line="360" w:lineRule="auto"/>
        <w:ind w:firstLineChars="0"/>
        <w:rPr>
          <w:rFonts w:hint="eastAsia" w:asciiTheme="minorEastAsia" w:hAnsiTheme="minorEastAsia" w:eastAsiaTheme="minorEastAsia" w:cstheme="minorEastAsia"/>
          <w:sz w:val="24"/>
          <w:szCs w:val="24"/>
        </w:rPr>
      </w:pPr>
      <w:bookmarkStart w:id="35" w:name="_Toc135493319"/>
      <w:bookmarkStart w:id="36" w:name="_Toc530755376"/>
      <w:r>
        <w:rPr>
          <w:rFonts w:hint="eastAsia" w:asciiTheme="minorEastAsia" w:hAnsiTheme="minorEastAsia" w:eastAsiaTheme="minorEastAsia" w:cstheme="minorEastAsia"/>
          <w:sz w:val="24"/>
          <w:szCs w:val="24"/>
        </w:rPr>
        <w:t>具备信息技术应用能力、活动策划与执行能力、逻辑思维能力、职业生涯规划能力；</w:t>
      </w:r>
    </w:p>
    <w:p>
      <w:pPr>
        <w:pStyle w:val="15"/>
        <w:numPr>
          <w:ilvl w:val="0"/>
          <w:numId w:val="6"/>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具有良好的语言表达能力、文字表达能力、沟通合作能力；</w:t>
      </w:r>
    </w:p>
    <w:p>
      <w:pPr>
        <w:pStyle w:val="15"/>
        <w:numPr>
          <w:ilvl w:val="0"/>
          <w:numId w:val="6"/>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具有行业产品分析、市场细分的能力，能根据行业与产品特点制定商品规划方案、商品配置与新品促销策略等；</w:t>
      </w:r>
    </w:p>
    <w:p>
      <w:pPr>
        <w:pStyle w:val="15"/>
        <w:numPr>
          <w:ilvl w:val="0"/>
          <w:numId w:val="6"/>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具有电子商务数据分析、社群管理工具运用的能力,能根据行业、网店及社群运营目标，实施引流、活动策划、需求挖掘和用户画像分析；</w:t>
      </w:r>
    </w:p>
    <w:p>
      <w:pPr>
        <w:pStyle w:val="15"/>
        <w:numPr>
          <w:ilvl w:val="0"/>
          <w:numId w:val="6"/>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具有市场调查分析、活动策划的能力，能够使用各类新媒体平台营销推广方法与营销工具，完成活动文案设计、资源整合营销活动、广告投放等；</w:t>
      </w:r>
    </w:p>
    <w:p>
      <w:pPr>
        <w:pStyle w:val="15"/>
        <w:numPr>
          <w:ilvl w:val="0"/>
          <w:numId w:val="6"/>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具有运用客户服务系统和智能客服训练系统的能力，能进行客服日常管理、客户投诉受理、客户风控管理及服务质量监控等；</w:t>
      </w:r>
    </w:p>
    <w:p>
      <w:pPr>
        <w:pStyle w:val="15"/>
        <w:numPr>
          <w:ilvl w:val="0"/>
          <w:numId w:val="6"/>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具有平面设计和音视频制作软件的应用能力，能进行品牌标识、产品包装、企业宣传物料、店铺页面的设计和短视频的策划、拍摄与剪辑；</w:t>
      </w:r>
    </w:p>
    <w:p>
      <w:pPr>
        <w:pStyle w:val="15"/>
        <w:numPr>
          <w:ilvl w:val="0"/>
          <w:numId w:val="6"/>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能适应产业数字化发展需求，具备基本数字技能和专业信息技术能力及终身学习和可持续发展的能力。</w:t>
      </w:r>
    </w:p>
    <w:p>
      <w:pPr>
        <w:pStyle w:val="2"/>
        <w:numPr>
          <w:ilvl w:val="0"/>
          <w:numId w:val="1"/>
        </w:numPr>
        <w:snapToGrid w:val="0"/>
        <w:spacing w:before="0" w:after="0" w:line="360" w:lineRule="auto"/>
        <w:rPr>
          <w:rFonts w:ascii="黑体" w:hAnsi="Times New Roman"/>
          <w:sz w:val="28"/>
          <w:szCs w:val="28"/>
        </w:rPr>
      </w:pPr>
      <w:bookmarkStart w:id="37" w:name="_Toc15461"/>
      <w:r>
        <w:rPr>
          <w:rFonts w:hint="eastAsia" w:ascii="黑体" w:hAnsi="Times New Roman"/>
          <w:sz w:val="28"/>
          <w:szCs w:val="28"/>
        </w:rPr>
        <w:t>课程设置与要求</w:t>
      </w:r>
      <w:bookmarkEnd w:id="35"/>
      <w:bookmarkEnd w:id="36"/>
      <w:bookmarkEnd w:id="37"/>
    </w:p>
    <w:p>
      <w:pPr>
        <w:pStyle w:val="15"/>
        <w:spacing w:line="360" w:lineRule="auto"/>
        <w:ind w:left="527" w:firstLine="0" w:firstLineChars="0"/>
        <w:rPr>
          <w:rFonts w:hint="eastAsia" w:asciiTheme="minorEastAsia" w:hAnsiTheme="minorEastAsia" w:eastAsiaTheme="minorEastAsia" w:cstheme="minorEastAsia"/>
          <w:sz w:val="24"/>
          <w:szCs w:val="24"/>
        </w:rPr>
      </w:pPr>
      <w:bookmarkStart w:id="38" w:name="_Toc530755377"/>
      <w:bookmarkStart w:id="39" w:name="_Toc135493320"/>
      <w:r>
        <w:rPr>
          <w:rFonts w:hint="eastAsia" w:asciiTheme="minorEastAsia" w:hAnsiTheme="minorEastAsia" w:eastAsiaTheme="minorEastAsia" w:cstheme="minorEastAsia"/>
          <w:sz w:val="24"/>
          <w:szCs w:val="24"/>
        </w:rPr>
        <w:t>本专业课程设置分为公共基础课和专业（技能）课。</w:t>
      </w:r>
    </w:p>
    <w:p>
      <w:pPr>
        <w:numPr>
          <w:ilvl w:val="0"/>
          <w:numId w:val="7"/>
        </w:numPr>
        <w:spacing w:line="500" w:lineRule="exact"/>
        <w:outlineLvl w:val="1"/>
        <w:rPr>
          <w:rFonts w:hint="eastAsia" w:asciiTheme="minorEastAsia" w:hAnsiTheme="minorEastAsia" w:eastAsiaTheme="minorEastAsia" w:cstheme="minorEastAsia"/>
          <w:b/>
          <w:bCs/>
          <w:sz w:val="24"/>
          <w:szCs w:val="24"/>
        </w:rPr>
      </w:pPr>
      <w:bookmarkStart w:id="40" w:name="_Toc15873"/>
      <w:r>
        <w:rPr>
          <w:rFonts w:hint="eastAsia" w:asciiTheme="minorEastAsia" w:hAnsiTheme="minorEastAsia" w:eastAsiaTheme="minorEastAsia" w:cstheme="minorEastAsia"/>
          <w:b/>
          <w:bCs/>
          <w:sz w:val="24"/>
          <w:szCs w:val="24"/>
        </w:rPr>
        <w:t>公共基础课</w:t>
      </w:r>
      <w:bookmarkEnd w:id="38"/>
      <w:r>
        <w:rPr>
          <w:rFonts w:hint="eastAsia" w:asciiTheme="minorEastAsia" w:hAnsiTheme="minorEastAsia" w:eastAsiaTheme="minorEastAsia" w:cstheme="minorEastAsia"/>
          <w:b/>
          <w:bCs/>
          <w:sz w:val="24"/>
          <w:szCs w:val="24"/>
        </w:rPr>
        <w:t>程</w:t>
      </w:r>
      <w:bookmarkEnd w:id="39"/>
      <w:bookmarkEnd w:id="40"/>
    </w:p>
    <w:p>
      <w:pPr>
        <w:pStyle w:val="4"/>
        <w:spacing w:before="312" w:beforeLines="100" w:after="312" w:afterLines="100"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共基础课开设思想政治、语文、历史、数学、英语、信息技术、体育与健康、艺术等必修课程，中华优秀传统文化、国家安全教育、就业创业创新教育、普通话口语交际等选修课程。引导学生形成正确的世界观、人生观、价值观，促进学生德智体美劳全面发展，具备较高的工作能力和职业素养。</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4"/>
        <w:spacing w:line="360" w:lineRule="auto"/>
        <w:ind w:left="0" w:leftChars="0"/>
        <w:jc w:val="center"/>
        <w:rPr>
          <w:rFonts w:hint="eastAsia" w:ascii="仿宋_GB2312" w:hAnsi="仿宋_GB2312" w:eastAsia="仿宋_GB2312" w:cs="仿宋_GB2312"/>
          <w:sz w:val="24"/>
          <w:szCs w:val="24"/>
        </w:rPr>
      </w:pPr>
      <w:r>
        <w:rPr>
          <w:rFonts w:hint="eastAsia" w:ascii="方正仿宋简体" w:hAnsi="方正仿宋简体" w:eastAsia="方正仿宋简体" w:cs="方正仿宋简体"/>
          <w:sz w:val="24"/>
          <w:szCs w:val="24"/>
        </w:rPr>
        <w:t>表2公共基础（</w:t>
      </w:r>
      <w:r>
        <w:rPr>
          <w:rFonts w:hint="eastAsia" w:ascii="方正仿宋简体" w:hAnsi="方正仿宋简体" w:eastAsia="方正仿宋简体" w:cs="方正仿宋简体"/>
          <w:sz w:val="24"/>
          <w:szCs w:val="24"/>
          <w:lang w:val="en-US" w:eastAsia="zh-CN"/>
        </w:rPr>
        <w:t>必修</w:t>
      </w:r>
      <w:r>
        <w:rPr>
          <w:rFonts w:hint="eastAsia" w:ascii="方正仿宋简体" w:hAnsi="方正仿宋简体" w:eastAsia="方正仿宋简体" w:cs="方正仿宋简体"/>
          <w:sz w:val="24"/>
          <w:szCs w:val="24"/>
        </w:rPr>
        <w:t>）课</w:t>
      </w:r>
    </w:p>
    <w:tbl>
      <w:tblPr>
        <w:tblStyle w:val="11"/>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293"/>
        <w:gridCol w:w="5709"/>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680"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序号</w:t>
            </w:r>
          </w:p>
        </w:tc>
        <w:tc>
          <w:tcPr>
            <w:tcW w:w="1293"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课程名称</w:t>
            </w:r>
          </w:p>
        </w:tc>
        <w:tc>
          <w:tcPr>
            <w:tcW w:w="5709"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教学内容与要求</w:t>
            </w:r>
          </w:p>
        </w:tc>
        <w:tc>
          <w:tcPr>
            <w:tcW w:w="837"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8" w:hRule="atLeast"/>
        </w:trPr>
        <w:tc>
          <w:tcPr>
            <w:tcW w:w="680"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93"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思想政治</w:t>
            </w:r>
          </w:p>
        </w:tc>
        <w:tc>
          <w:tcPr>
            <w:tcW w:w="5709" w:type="dxa"/>
            <w:vAlign w:val="center"/>
          </w:tcPr>
          <w:p>
            <w:pPr>
              <w:pStyle w:val="5"/>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本课程学习，帮助学生确立正确的政治方向，坚定理想信念，厚植爱国主义情怀，提高职业道德素质、法治素养和心理健康水平，促进学生健康成长、全面发展，培养拥护中国共产党领导和我国社会主义制度、立志为中国特色社会主义事业奋斗终身的有用人才。</w:t>
            </w:r>
          </w:p>
        </w:tc>
        <w:tc>
          <w:tcPr>
            <w:tcW w:w="837"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93"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语文</w:t>
            </w:r>
          </w:p>
        </w:tc>
        <w:tc>
          <w:tcPr>
            <w:tcW w:w="5709" w:type="dxa"/>
            <w:vAlign w:val="center"/>
          </w:tcPr>
          <w:p>
            <w:pPr>
              <w:pStyle w:val="5"/>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阅读与欣赏、表达与交流和语文综合实践等学习活动，使学生具有较强的语言文字运用能力和思维能力，能够传承中华民族优秀文，吸收人类进步文化，提高人文素养，养成良好道德品质，成为全面发展的高素质技能技术人才。</w:t>
            </w:r>
          </w:p>
        </w:tc>
        <w:tc>
          <w:tcPr>
            <w:tcW w:w="837"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93"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历史</w:t>
            </w:r>
          </w:p>
        </w:tc>
        <w:tc>
          <w:tcPr>
            <w:tcW w:w="5709" w:type="dxa"/>
            <w:vAlign w:val="center"/>
          </w:tcPr>
          <w:p>
            <w:pPr>
              <w:pStyle w:val="5"/>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本课程学习，使学生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w:t>
            </w:r>
          </w:p>
        </w:tc>
        <w:tc>
          <w:tcPr>
            <w:tcW w:w="837"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8" w:hRule="atLeast"/>
        </w:trPr>
        <w:tc>
          <w:tcPr>
            <w:tcW w:w="680"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293"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数学</w:t>
            </w:r>
          </w:p>
        </w:tc>
        <w:tc>
          <w:tcPr>
            <w:tcW w:w="5709" w:type="dxa"/>
            <w:vAlign w:val="center"/>
          </w:tcPr>
          <w:p>
            <w:pPr>
              <w:pStyle w:val="5"/>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本课程学习，使学生掌握职业发展所必需的数学知识、数学技能、数学思想和数学方法，具备中等职业教育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tc>
        <w:tc>
          <w:tcPr>
            <w:tcW w:w="837"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293"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英语</w:t>
            </w:r>
          </w:p>
        </w:tc>
        <w:tc>
          <w:tcPr>
            <w:tcW w:w="5709" w:type="dxa"/>
            <w:vAlign w:val="center"/>
          </w:tcPr>
          <w:p>
            <w:pPr>
              <w:pStyle w:val="5"/>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本课程学习，使学生掌握一定的英语基础知识和基本技能，培养学生在日常生活和职业场景中的英语应用能力；培养学生的文化意识，提高学生的思想品德修养和文化素养；为学生的职业生涯、继续学习和终身发展奠定基础。</w:t>
            </w:r>
          </w:p>
        </w:tc>
        <w:tc>
          <w:tcPr>
            <w:tcW w:w="837"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293"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信息技术</w:t>
            </w:r>
          </w:p>
        </w:tc>
        <w:tc>
          <w:tcPr>
            <w:tcW w:w="5709" w:type="dxa"/>
            <w:vAlign w:val="center"/>
          </w:tcPr>
          <w:p>
            <w:pPr>
              <w:pStyle w:val="5"/>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本课程学习，使学生掌握必备的计算机应用基础知识和基本技能，培养学生应用计算机解决工作与生活中实际问题的能力；使学生初步具有应用计算机学习的能力，为其职业生涯发展和终身学习奠定基础；提升学生的信息素养，使学生了解并遵守相关法律法规、信息道德及信息安全准则，培养学生成为信息社会的合格公民。</w:t>
            </w:r>
          </w:p>
        </w:tc>
        <w:tc>
          <w:tcPr>
            <w:tcW w:w="837"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8" w:hRule="atLeast"/>
        </w:trPr>
        <w:tc>
          <w:tcPr>
            <w:tcW w:w="680"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293"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体育与健康</w:t>
            </w:r>
          </w:p>
        </w:tc>
        <w:tc>
          <w:tcPr>
            <w:tcW w:w="5709" w:type="dxa"/>
            <w:vAlign w:val="center"/>
          </w:tcPr>
          <w:p>
            <w:pPr>
              <w:pStyle w:val="5"/>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本课程学习，使学生掌握体育基本理论知识、技术、技能和科学锻炼身体的方法，掌握一定的体育卫生保健常识，通过学习和锻炼，提高自身的运动能力。根据学生的生理、心理特点，选择良好的运动环境，全面提高学生身体素质。</w:t>
            </w:r>
          </w:p>
        </w:tc>
        <w:tc>
          <w:tcPr>
            <w:tcW w:w="837"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293"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w:t>
            </w:r>
          </w:p>
        </w:tc>
        <w:tc>
          <w:tcPr>
            <w:tcW w:w="5709" w:type="dxa"/>
            <w:vAlign w:val="center"/>
          </w:tcPr>
          <w:p>
            <w:pPr>
              <w:pStyle w:val="5"/>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艺术作品赏析和艺术实践活动，使学生掌握不同艺术门类的基本知识、技能和原理，引导学生树立正确的世界观、人生观和价值观，增强文化自觉与文化自信，丰富学生人文素养与精神世界，培养学生艺术欣赏能力，提高学生文化品位和审美素质。</w:t>
            </w:r>
          </w:p>
        </w:tc>
        <w:tc>
          <w:tcPr>
            <w:tcW w:w="837"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293"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劳动教育</w:t>
            </w:r>
          </w:p>
        </w:tc>
        <w:tc>
          <w:tcPr>
            <w:tcW w:w="5709" w:type="dxa"/>
            <w:vAlign w:val="center"/>
          </w:tcPr>
          <w:p>
            <w:pPr>
              <w:pStyle w:val="5"/>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执行中共中央国务院发布的《关于全面加强新时代大中小学劳动教育的意见》相关要求，劳动教育以实习实训课为主要载体开展，其中劳动精神、劳模精神、工匠精神专题教育，每学年不少于16学时。</w:t>
            </w:r>
          </w:p>
        </w:tc>
        <w:tc>
          <w:tcPr>
            <w:tcW w:w="837" w:type="dxa"/>
            <w:vAlign w:val="center"/>
          </w:tcPr>
          <w:p>
            <w:pPr>
              <w:pStyle w:val="5"/>
              <w:snapToGrid w:val="0"/>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r>
    </w:tbl>
    <w:p>
      <w:pPr>
        <w:pStyle w:val="4"/>
        <w:spacing w:line="360" w:lineRule="auto"/>
        <w:ind w:left="0" w:leftChars="0"/>
        <w:rPr>
          <w:rFonts w:hint="eastAsia" w:ascii="方正仿宋简体" w:hAnsi="方正仿宋简体" w:eastAsia="方正仿宋简体" w:cs="方正仿宋简体"/>
          <w:sz w:val="24"/>
          <w:szCs w:val="24"/>
        </w:rPr>
      </w:pPr>
    </w:p>
    <w:p>
      <w:pPr>
        <w:pStyle w:val="4"/>
        <w:spacing w:line="360" w:lineRule="auto"/>
        <w:ind w:left="0" w:leftChars="0"/>
        <w:jc w:val="center"/>
        <w:rPr>
          <w:rFonts w:hint="eastAsia" w:ascii="仿宋_GB2312" w:hAnsi="仿宋_GB2312" w:eastAsia="仿宋_GB2312" w:cs="仿宋_GB2312"/>
          <w:sz w:val="24"/>
          <w:szCs w:val="24"/>
        </w:rPr>
      </w:pPr>
      <w:r>
        <w:rPr>
          <w:rFonts w:hint="eastAsia" w:ascii="方正仿宋简体" w:hAnsi="方正仿宋简体" w:eastAsia="方正仿宋简体" w:cs="方正仿宋简体"/>
          <w:sz w:val="24"/>
          <w:szCs w:val="24"/>
        </w:rPr>
        <w:t>表3 公共基础（</w:t>
      </w:r>
      <w:r>
        <w:rPr>
          <w:rFonts w:hint="eastAsia" w:ascii="方正仿宋简体" w:hAnsi="方正仿宋简体" w:eastAsia="方正仿宋简体" w:cs="方正仿宋简体"/>
          <w:sz w:val="24"/>
          <w:szCs w:val="24"/>
          <w:lang w:val="en-US" w:eastAsia="zh-CN"/>
        </w:rPr>
        <w:t>选修</w:t>
      </w:r>
      <w:r>
        <w:rPr>
          <w:rFonts w:hint="eastAsia" w:ascii="方正仿宋简体" w:hAnsi="方正仿宋简体" w:eastAsia="方正仿宋简体" w:cs="方正仿宋简体"/>
          <w:sz w:val="24"/>
          <w:szCs w:val="24"/>
        </w:rPr>
        <w:t>）课</w:t>
      </w:r>
    </w:p>
    <w:tbl>
      <w:tblPr>
        <w:tblStyle w:val="11"/>
        <w:tblW w:w="85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1307"/>
        <w:gridCol w:w="5787"/>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3" w:hRule="exact"/>
          <w:tblHeader/>
        </w:trPr>
        <w:tc>
          <w:tcPr>
            <w:tcW w:w="682"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序号</w:t>
            </w:r>
          </w:p>
        </w:tc>
        <w:tc>
          <w:tcPr>
            <w:tcW w:w="1307"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课程名称</w:t>
            </w:r>
          </w:p>
        </w:tc>
        <w:tc>
          <w:tcPr>
            <w:tcW w:w="5787"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教学内容与要求</w:t>
            </w:r>
          </w:p>
        </w:tc>
        <w:tc>
          <w:tcPr>
            <w:tcW w:w="743"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66" w:hRule="exact"/>
        </w:trPr>
        <w:tc>
          <w:tcPr>
            <w:tcW w:w="682" w:type="dxa"/>
            <w:tcBorders>
              <w:bottom w:val="single" w:color="auto" w:sz="4" w:space="0"/>
            </w:tcBorders>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07" w:type="dxa"/>
            <w:tcBorders>
              <w:bottom w:val="single" w:color="auto" w:sz="4" w:space="0"/>
            </w:tcBorders>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海洋科学</w:t>
            </w:r>
          </w:p>
        </w:tc>
        <w:tc>
          <w:tcPr>
            <w:tcW w:w="5787" w:type="dxa"/>
            <w:tcBorders>
              <w:bottom w:val="single" w:color="auto" w:sz="4" w:space="0"/>
            </w:tcBorders>
            <w:vAlign w:val="center"/>
          </w:tcPr>
          <w:p>
            <w:pPr>
              <w:overflowPunct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本课程的学习，帮助学生认识海洋自然环境的基本特征，海洋对人类生存和发展有着极其重要的价值；面对日益严重的海洋环境问题，引导学生积极参与海洋环境保护；帮助学生深刻理解维护国家海洋权益的重要意义，增强学生热爱祖国的情感。</w:t>
            </w:r>
          </w:p>
        </w:tc>
        <w:tc>
          <w:tcPr>
            <w:tcW w:w="743" w:type="dxa"/>
            <w:tcBorders>
              <w:bottom w:val="single" w:color="auto" w:sz="4" w:space="0"/>
            </w:tcBorders>
            <w:vAlign w:val="center"/>
          </w:tcPr>
          <w:p>
            <w:pPr>
              <w:snapToGri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24" w:hRule="exact"/>
        </w:trPr>
        <w:tc>
          <w:tcPr>
            <w:tcW w:w="682" w:type="dxa"/>
            <w:tcBorders>
              <w:bottom w:val="single" w:color="auto" w:sz="4" w:space="0"/>
            </w:tcBorders>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07" w:type="dxa"/>
            <w:tcBorders>
              <w:bottom w:val="single" w:color="auto" w:sz="4" w:space="0"/>
            </w:tcBorders>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sz w:val="24"/>
                <w:szCs w:val="24"/>
              </w:rPr>
              <w:t>中华优秀传统文化</w:t>
            </w:r>
          </w:p>
        </w:tc>
        <w:tc>
          <w:tcPr>
            <w:tcW w:w="5787" w:type="dxa"/>
            <w:tcBorders>
              <w:bottom w:val="single" w:color="auto" w:sz="4" w:space="0"/>
            </w:tcBorders>
            <w:vAlign w:val="center"/>
          </w:tcPr>
          <w:p>
            <w:pPr>
              <w:overflowPunct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旨在传授中国传统文化、传承中华民族精神，弘扬优秀文化传统，提高学校教育文化品位和学生人文素质。增强学生的文化涵养，丰富校园文化，发挥文化传承作用，全面提高学生的人文素质，引导学生形成高尚的道德情操和正确的价值取向。</w:t>
            </w:r>
          </w:p>
        </w:tc>
        <w:tc>
          <w:tcPr>
            <w:tcW w:w="743" w:type="dxa"/>
            <w:tcBorders>
              <w:bottom w:val="single" w:color="auto" w:sz="4" w:space="0"/>
            </w:tcBorders>
            <w:vAlign w:val="center"/>
          </w:tcPr>
          <w:p>
            <w:pPr>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05" w:hRule="exact"/>
        </w:trPr>
        <w:tc>
          <w:tcPr>
            <w:tcW w:w="682" w:type="dxa"/>
            <w:tcBorders>
              <w:bottom w:val="single" w:color="auto" w:sz="4" w:space="0"/>
            </w:tcBorders>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307" w:type="dxa"/>
            <w:tcBorders>
              <w:bottom w:val="single" w:color="auto" w:sz="4" w:space="0"/>
            </w:tcBorders>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职业素养</w:t>
            </w:r>
          </w:p>
        </w:tc>
        <w:tc>
          <w:tcPr>
            <w:tcW w:w="5787" w:type="dxa"/>
            <w:tcBorders>
              <w:bottom w:val="single" w:color="auto" w:sz="4" w:space="0"/>
            </w:tcBorders>
            <w:vAlign w:val="center"/>
          </w:tcPr>
          <w:p>
            <w:pPr>
              <w:overflowPunct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本课程学习，引导学生了解职场、了解职业，树立准职业人的身份意识。使学生成为崇尚劳动、敬业守信、创新务实的社会好公民；成为立足岗位、服务群众、奉献社会的准员工；成为德才兼备、创新进取、精益求精的优秀工匠。</w:t>
            </w:r>
          </w:p>
        </w:tc>
        <w:tc>
          <w:tcPr>
            <w:tcW w:w="743" w:type="dxa"/>
            <w:tcBorders>
              <w:bottom w:val="single" w:color="auto" w:sz="4" w:space="0"/>
            </w:tcBorders>
            <w:vAlign w:val="center"/>
          </w:tcPr>
          <w:p>
            <w:pPr>
              <w:snapToGri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sz w:val="24"/>
                <w:szCs w:val="24"/>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00" w:hRule="exact"/>
        </w:trPr>
        <w:tc>
          <w:tcPr>
            <w:tcW w:w="682" w:type="dxa"/>
            <w:tcBorders>
              <w:top w:val="single" w:color="auto" w:sz="4" w:space="0"/>
              <w:bottom w:val="single" w:color="auto" w:sz="4" w:space="0"/>
            </w:tcBorders>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307" w:type="dxa"/>
            <w:tcBorders>
              <w:top w:val="single" w:color="auto" w:sz="4" w:space="0"/>
              <w:bottom w:val="single" w:color="auto" w:sz="4" w:space="0"/>
            </w:tcBorders>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创新创业教育</w:t>
            </w:r>
          </w:p>
        </w:tc>
        <w:tc>
          <w:tcPr>
            <w:tcW w:w="5787" w:type="dxa"/>
            <w:tcBorders>
              <w:top w:val="single" w:color="auto" w:sz="4" w:space="0"/>
              <w:bottom w:val="single" w:color="auto" w:sz="4" w:space="0"/>
            </w:tcBorders>
            <w:vAlign w:val="center"/>
          </w:tcPr>
          <w:p>
            <w:pPr>
              <w:overflowPunct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在于培养学生的创业技能与开拓创新精神，以适应全球化、知识经济时代的挑战，并将主动创业作为未来职业生涯的一种选择，转变传统的就业观念和行为选择培养学生具有创新意识、创新思维，锻炼其创业心智的综合素质。</w:t>
            </w:r>
          </w:p>
        </w:tc>
        <w:tc>
          <w:tcPr>
            <w:tcW w:w="743" w:type="dxa"/>
            <w:tcBorders>
              <w:top w:val="single" w:color="auto" w:sz="4" w:space="0"/>
              <w:bottom w:val="single" w:color="auto" w:sz="4" w:space="0"/>
            </w:tcBorders>
            <w:vAlign w:val="center"/>
          </w:tcPr>
          <w:p>
            <w:pPr>
              <w:snapToGri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sz w:val="24"/>
                <w:szCs w:val="24"/>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84" w:hRule="exact"/>
        </w:trPr>
        <w:tc>
          <w:tcPr>
            <w:tcW w:w="682" w:type="dxa"/>
            <w:tcBorders>
              <w:top w:val="single" w:color="auto" w:sz="4" w:space="0"/>
              <w:bottom w:val="single" w:color="auto" w:sz="4" w:space="0"/>
            </w:tcBorders>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307" w:type="dxa"/>
            <w:tcBorders>
              <w:top w:val="single" w:color="auto" w:sz="4" w:space="0"/>
              <w:bottom w:val="single" w:color="auto" w:sz="4" w:space="0"/>
            </w:tcBorders>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健康教育</w:t>
            </w:r>
          </w:p>
        </w:tc>
        <w:tc>
          <w:tcPr>
            <w:tcW w:w="5787" w:type="dxa"/>
            <w:tcBorders>
              <w:top w:val="single" w:color="auto" w:sz="4" w:space="0"/>
              <w:bottom w:val="single" w:color="auto" w:sz="4" w:space="0"/>
            </w:tcBorders>
            <w:vAlign w:val="center"/>
          </w:tcPr>
          <w:p>
            <w:pPr>
              <w:overflowPunct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旨在培养学生健康行为与生活方式、疾病预防、心理健康、生长发育与青春期保健、安全应急与避险等五个方面的知识与技能，使学生懂得独立生活,自主学习的重要，养成学会学习、会生活、会劳动的好习惯。</w:t>
            </w:r>
          </w:p>
        </w:tc>
        <w:tc>
          <w:tcPr>
            <w:tcW w:w="743" w:type="dxa"/>
            <w:tcBorders>
              <w:top w:val="single" w:color="auto" w:sz="4" w:space="0"/>
              <w:bottom w:val="single" w:color="auto" w:sz="4" w:space="0"/>
            </w:tcBorders>
            <w:vAlign w:val="center"/>
          </w:tcPr>
          <w:p>
            <w:pPr>
              <w:snapToGrid w:val="0"/>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5" w:hRule="exact"/>
        </w:trPr>
        <w:tc>
          <w:tcPr>
            <w:tcW w:w="682" w:type="dxa"/>
            <w:tcBorders>
              <w:top w:val="single" w:color="auto" w:sz="4" w:space="0"/>
              <w:bottom w:val="single" w:color="auto" w:sz="4" w:space="0"/>
            </w:tcBorders>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307" w:type="dxa"/>
            <w:tcBorders>
              <w:top w:val="single" w:color="auto" w:sz="4" w:space="0"/>
              <w:bottom w:val="single" w:color="auto" w:sz="4" w:space="0"/>
            </w:tcBorders>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环保教育</w:t>
            </w:r>
          </w:p>
        </w:tc>
        <w:tc>
          <w:tcPr>
            <w:tcW w:w="5787" w:type="dxa"/>
            <w:tcBorders>
              <w:top w:val="single" w:color="auto" w:sz="4" w:space="0"/>
              <w:bottom w:val="single" w:color="auto" w:sz="4" w:space="0"/>
            </w:tcBorders>
            <w:vAlign w:val="center"/>
          </w:tcPr>
          <w:p>
            <w:pPr>
              <w:overflowPunct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本课程旨在使学生懂得人类与环境、化学与环境的关系，了解低碳、环保、绿色生活的科学知识，培养学生热爱生活、美好生态环境的积极理念与情感，从生活的细微处入手，为绿色家园创建而努力。</w:t>
            </w:r>
          </w:p>
        </w:tc>
        <w:tc>
          <w:tcPr>
            <w:tcW w:w="743" w:type="dxa"/>
            <w:tcBorders>
              <w:top w:val="single" w:color="auto" w:sz="4" w:space="0"/>
              <w:bottom w:val="single" w:color="auto" w:sz="4" w:space="0"/>
            </w:tcBorders>
            <w:vAlign w:val="center"/>
          </w:tcPr>
          <w:p>
            <w:pPr>
              <w:spacing w:line="360" w:lineRule="auto"/>
              <w:jc w:val="center"/>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36</w:t>
            </w:r>
          </w:p>
        </w:tc>
      </w:tr>
    </w:tbl>
    <w:p>
      <w:pPr>
        <w:numPr>
          <w:ilvl w:val="0"/>
          <w:numId w:val="7"/>
        </w:numPr>
        <w:spacing w:line="500" w:lineRule="exact"/>
        <w:outlineLvl w:val="1"/>
        <w:rPr>
          <w:rFonts w:hint="eastAsia" w:asciiTheme="minorEastAsia" w:hAnsiTheme="minorEastAsia" w:eastAsiaTheme="minorEastAsia" w:cstheme="minorEastAsia"/>
          <w:b/>
          <w:bCs/>
          <w:sz w:val="24"/>
          <w:szCs w:val="24"/>
        </w:rPr>
      </w:pPr>
      <w:bookmarkStart w:id="41" w:name="_Toc117938443"/>
      <w:bookmarkStart w:id="42" w:name="_Toc25922"/>
      <w:bookmarkStart w:id="43" w:name="_Toc135493321"/>
      <w:r>
        <w:rPr>
          <w:rFonts w:hint="eastAsia" w:asciiTheme="minorEastAsia" w:hAnsiTheme="minorEastAsia" w:eastAsiaTheme="minorEastAsia" w:cstheme="minorEastAsia"/>
          <w:b/>
          <w:bCs/>
          <w:sz w:val="24"/>
          <w:szCs w:val="24"/>
        </w:rPr>
        <w:t>专业（技能）课</w:t>
      </w:r>
      <w:bookmarkEnd w:id="41"/>
      <w:r>
        <w:rPr>
          <w:rFonts w:hint="eastAsia" w:asciiTheme="minorEastAsia" w:hAnsiTheme="minorEastAsia" w:eastAsiaTheme="minorEastAsia" w:cstheme="minorEastAsia"/>
          <w:b/>
          <w:bCs/>
          <w:sz w:val="24"/>
          <w:szCs w:val="24"/>
        </w:rPr>
        <w:t>程</w:t>
      </w:r>
      <w:bookmarkEnd w:id="42"/>
      <w:bookmarkEnd w:id="43"/>
    </w:p>
    <w:p>
      <w:pPr>
        <w:numPr>
          <w:ilvl w:val="0"/>
          <w:numId w:val="8"/>
        </w:numPr>
        <w:tabs>
          <w:tab w:val="left" w:pos="312"/>
        </w:tabs>
        <w:spacing w:after="156" w:afterLines="5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专业基础课程</w:t>
      </w:r>
    </w:p>
    <w:p>
      <w:pPr>
        <w:pStyle w:val="4"/>
        <w:spacing w:line="360" w:lineRule="auto"/>
        <w:ind w:left="0" w:leftChars="0"/>
        <w:jc w:val="center"/>
        <w:rPr>
          <w:rFonts w:hint="eastAsia" w:asciiTheme="minorEastAsia" w:hAnsiTheme="minorEastAsia" w:eastAsiaTheme="minorEastAsia" w:cstheme="minorEastAsia"/>
          <w:sz w:val="24"/>
          <w:szCs w:val="24"/>
        </w:rPr>
      </w:pPr>
      <w:r>
        <w:rPr>
          <w:rFonts w:hint="eastAsia" w:ascii="方正仿宋简体" w:hAnsi="方正仿宋简体" w:eastAsia="方正仿宋简体" w:cs="方正仿宋简体"/>
          <w:sz w:val="24"/>
          <w:szCs w:val="24"/>
        </w:rPr>
        <w:t>表4 专业基础课</w:t>
      </w:r>
    </w:p>
    <w:tbl>
      <w:tblPr>
        <w:tblStyle w:val="11"/>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322"/>
        <w:gridCol w:w="5786"/>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667"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序号</w:t>
            </w:r>
          </w:p>
        </w:tc>
        <w:tc>
          <w:tcPr>
            <w:tcW w:w="1322"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课程名称</w:t>
            </w:r>
          </w:p>
        </w:tc>
        <w:tc>
          <w:tcPr>
            <w:tcW w:w="5786"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主要教学内容和要求</w:t>
            </w:r>
          </w:p>
        </w:tc>
        <w:tc>
          <w:tcPr>
            <w:tcW w:w="760"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4" w:hRule="atLeast"/>
        </w:trPr>
        <w:tc>
          <w:tcPr>
            <w:tcW w:w="667" w:type="dxa"/>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22" w:type="dxa"/>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电子商务基础</w:t>
            </w:r>
          </w:p>
        </w:tc>
        <w:tc>
          <w:tcPr>
            <w:tcW w:w="5786" w:type="dxa"/>
          </w:tcPr>
          <w:p>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是电子商务专业基础课程。通过本课程的学习，使学生从总体上对电子商务专业、电子商务知识体系和国内外电子商务应用情况有一个整体印象和初步认识，并掌握电子商务运作模式和交易流程，为今后学习专业其他课程以及将来从事电子商务工作奠定良好的基础。</w:t>
            </w:r>
          </w:p>
        </w:tc>
        <w:tc>
          <w:tcPr>
            <w:tcW w:w="760" w:type="dxa"/>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3" w:hRule="atLeast"/>
        </w:trPr>
        <w:tc>
          <w:tcPr>
            <w:tcW w:w="667"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22" w:type="dxa"/>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零售基础</w:t>
            </w:r>
          </w:p>
        </w:tc>
        <w:tc>
          <w:tcPr>
            <w:tcW w:w="5786" w:type="dxa"/>
          </w:tcPr>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是电子商务专业基础课程。通过本课程的学习，使学生可以全面系统地了解国内外零售业发展动态，最新零售业概念和理论，零售管理的基本知识和运营管理，深入分析零售管理的热点问题，增强学生的分析问题和解决问题的能力。</w:t>
            </w:r>
          </w:p>
        </w:tc>
        <w:tc>
          <w:tcPr>
            <w:tcW w:w="760" w:type="dxa"/>
            <w:vAlign w:val="center"/>
          </w:tcPr>
          <w:p>
            <w:pPr>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9" w:hRule="atLeast"/>
        </w:trPr>
        <w:tc>
          <w:tcPr>
            <w:tcW w:w="667"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322" w:type="dxa"/>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市场营销</w:t>
            </w:r>
          </w:p>
        </w:tc>
        <w:tc>
          <w:tcPr>
            <w:tcW w:w="5786" w:type="dxa"/>
          </w:tcPr>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是电子商务专业基础课程。通过本课程的学习与训练，使学生完成市场营销常识知识、营销实务、营销管理和特殊市场营销等四大板块的学习任务，掌握市场营销的基本知识、基本方法和主要技能，提高学生的职业实践能力。</w:t>
            </w:r>
          </w:p>
        </w:tc>
        <w:tc>
          <w:tcPr>
            <w:tcW w:w="760" w:type="dxa"/>
            <w:vAlign w:val="center"/>
          </w:tcPr>
          <w:p>
            <w:pPr>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322" w:type="dxa"/>
            <w:vAlign w:val="center"/>
          </w:tcPr>
          <w:p>
            <w:pPr>
              <w:autoSpaceDE w:val="0"/>
              <w:autoSpaceDN w:val="0"/>
              <w:adjustRightInd w:val="0"/>
              <w:snapToGrid w:val="0"/>
              <w:spacing w:line="360" w:lineRule="auto"/>
              <w:ind w:left="-19" w:hanging="2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商品拍摄与图片处理</w:t>
            </w:r>
          </w:p>
        </w:tc>
        <w:tc>
          <w:tcPr>
            <w:tcW w:w="5786" w:type="dxa"/>
          </w:tcPr>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是电子商务专业基础课程。本课程的任务是培养学生拍摄商品的能力和影像后期处理能力，要求学生能够掌握摄影的基本知识、商品的照明方法和摄影方法，能根据所售商品的不同特征和消费心理进行拍摄，熟练进行商品图片的后期处理，能将图像处理技术应用在网页制作、网店装修等工作中。</w:t>
            </w:r>
          </w:p>
        </w:tc>
        <w:tc>
          <w:tcPr>
            <w:tcW w:w="760" w:type="dxa"/>
            <w:vAlign w:val="center"/>
          </w:tcPr>
          <w:p>
            <w:pPr>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72</w:t>
            </w:r>
          </w:p>
        </w:tc>
      </w:tr>
    </w:tbl>
    <w:p>
      <w:pPr>
        <w:numPr>
          <w:ilvl w:val="0"/>
          <w:numId w:val="8"/>
        </w:numPr>
        <w:tabs>
          <w:tab w:val="left" w:pos="312"/>
        </w:tabs>
        <w:spacing w:after="156" w:afterLines="5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专业核心课程</w:t>
      </w:r>
    </w:p>
    <w:p>
      <w:pPr>
        <w:pStyle w:val="4"/>
        <w:spacing w:line="360" w:lineRule="auto"/>
        <w:ind w:left="0" w:leftChars="0"/>
        <w:jc w:val="center"/>
        <w:rPr>
          <w:rFonts w:hint="eastAsia" w:asciiTheme="minorEastAsia" w:hAnsiTheme="minorEastAsia" w:eastAsiaTheme="minorEastAsia" w:cstheme="minorEastAsia"/>
          <w:sz w:val="24"/>
          <w:szCs w:val="24"/>
        </w:rPr>
      </w:pPr>
      <w:r>
        <w:rPr>
          <w:rFonts w:hint="eastAsia" w:ascii="方正仿宋简体" w:hAnsi="方正仿宋简体" w:eastAsia="方正仿宋简体" w:cs="方正仿宋简体"/>
          <w:sz w:val="24"/>
          <w:szCs w:val="24"/>
        </w:rPr>
        <w:t>表5 专业核心课</w:t>
      </w:r>
    </w:p>
    <w:tbl>
      <w:tblPr>
        <w:tblStyle w:val="11"/>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40"/>
        <w:gridCol w:w="5789"/>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序号</w:t>
            </w:r>
          </w:p>
        </w:tc>
        <w:tc>
          <w:tcPr>
            <w:tcW w:w="1340"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课程名称</w:t>
            </w:r>
          </w:p>
        </w:tc>
        <w:tc>
          <w:tcPr>
            <w:tcW w:w="5789"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主要教学内容和要求</w:t>
            </w:r>
          </w:p>
        </w:tc>
        <w:tc>
          <w:tcPr>
            <w:tcW w:w="745"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40"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网店运营</w:t>
            </w:r>
          </w:p>
        </w:tc>
        <w:tc>
          <w:tcPr>
            <w:tcW w:w="5789" w:type="dxa"/>
            <w:vAlign w:val="center"/>
          </w:tcPr>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的任务是使学生掌握平台规则和运营基础知识，了解运营常用名词术语及经营计算公式，能够完成店铺入驻、日常维护、商品上下架及标题优化、活动申报等操作，能够监控店铺、商品、活动、客户等相关数据并收集、整理和汇总。</w:t>
            </w:r>
          </w:p>
        </w:tc>
        <w:tc>
          <w:tcPr>
            <w:tcW w:w="745"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1" w:hRule="atLeast"/>
          <w:jc w:val="center"/>
        </w:trPr>
        <w:tc>
          <w:tcPr>
            <w:tcW w:w="645"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40"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客户服务</w:t>
            </w:r>
          </w:p>
        </w:tc>
        <w:tc>
          <w:tcPr>
            <w:tcW w:w="5789" w:type="dxa"/>
            <w:vAlign w:val="center"/>
          </w:tcPr>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本课程的学习，使学生掌握客户服务基础知识，理解平台规则、商品知识和沟通技巧等内容，能够回复客户咨询，能够进行异常订单处理，能够进行售后纠纷处理，能够进行客户数据分析，引流并实施维护，能够进行评价舆情的引导与管理。</w:t>
            </w:r>
          </w:p>
        </w:tc>
        <w:tc>
          <w:tcPr>
            <w:tcW w:w="745"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4" w:hRule="atLeast"/>
          <w:jc w:val="center"/>
        </w:trPr>
        <w:tc>
          <w:tcPr>
            <w:tcW w:w="645" w:type="dxa"/>
            <w:shd w:val="clear" w:color="auto" w:fill="auto"/>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340" w:type="dxa"/>
            <w:shd w:val="clear" w:color="auto" w:fill="auto"/>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短视频视觉设计与制作</w:t>
            </w:r>
          </w:p>
        </w:tc>
        <w:tc>
          <w:tcPr>
            <w:tcW w:w="5789" w:type="dxa"/>
            <w:shd w:val="clear" w:color="auto" w:fill="auto"/>
            <w:vAlign w:val="center"/>
          </w:tcPr>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课程学习，使学生掌握短视频视觉设计与制作的基础知识，理解短视频平台规则和营销需求等内容，熟练掌握短视频策划、脚本撰写、拍摄、剪辑等职业技能，能够策划、拍摄和剪辑出较高水平的短视频作品，在短视频平台上展示和传播。</w:t>
            </w:r>
          </w:p>
        </w:tc>
        <w:tc>
          <w:tcPr>
            <w:tcW w:w="745" w:type="dxa"/>
            <w:shd w:val="clear" w:color="auto" w:fill="auto"/>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340"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网络推广</w:t>
            </w:r>
          </w:p>
        </w:tc>
        <w:tc>
          <w:tcPr>
            <w:tcW w:w="5789" w:type="dxa"/>
            <w:vAlign w:val="center"/>
          </w:tcPr>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旨在使学生掌握网络推广基础知识，理解平台内、社会化媒体、新媒体平台的营销推广相关规则和推广算法、推广效果数据指标、网络广告资源位，使学生能够执行推广任务，跟踪推广效果，收集与发布推广内容与素材，能够完成KOL媒介营销、网络广告投放辅助工作，能够收集、整理营销推广数据，制作日报、周报及投入产出数据报表等。</w:t>
            </w:r>
          </w:p>
        </w:tc>
        <w:tc>
          <w:tcPr>
            <w:tcW w:w="745"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340"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新媒体运营</w:t>
            </w:r>
          </w:p>
          <w:p>
            <w:pPr>
              <w:spacing w:line="360" w:lineRule="auto"/>
              <w:jc w:val="center"/>
              <w:rPr>
                <w:rFonts w:hint="eastAsia" w:asciiTheme="minorEastAsia" w:hAnsiTheme="minorEastAsia" w:eastAsiaTheme="minorEastAsia" w:cstheme="minorEastAsia"/>
                <w:sz w:val="24"/>
                <w:szCs w:val="24"/>
              </w:rPr>
            </w:pPr>
          </w:p>
        </w:tc>
        <w:tc>
          <w:tcPr>
            <w:tcW w:w="5789" w:type="dxa"/>
            <w:vAlign w:val="center"/>
          </w:tcPr>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包括账号定位和包装、店铺选品测品、活动方案执行、新媒体引流工具操作、新媒体数据收集与分析等工作内容。要求学生掌握平台规则和新媒体运营基础知识。能够完成素材收集、短视频制作、文案脚本编写、账号信息和主页内容日常编辑、引流计划修改及上下线等操作。能够监控并收集热点信息、商品、活动、引流。</w:t>
            </w:r>
          </w:p>
        </w:tc>
        <w:tc>
          <w:tcPr>
            <w:tcW w:w="745"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shd w:val="clear" w:color="auto" w:fill="auto"/>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340" w:type="dxa"/>
            <w:shd w:val="clear" w:color="auto" w:fill="auto"/>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新媒体营销</w:t>
            </w:r>
          </w:p>
        </w:tc>
        <w:tc>
          <w:tcPr>
            <w:tcW w:w="5789" w:type="dxa"/>
            <w:shd w:val="clear" w:color="auto" w:fill="auto"/>
            <w:vAlign w:val="center"/>
          </w:tcPr>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本课程的学习，使学生掌握新媒体营销基础知识，理解新媒体平台规则、社群营销，能够分析用户需求、商品特点等，挖掘营销卖点，完成素材收集、视频内容制作、营销图文制作、营销文案写作等任务并发布，能够建立社群、进行社群日常维护、实施线上线下社群营销活动。</w:t>
            </w:r>
          </w:p>
        </w:tc>
        <w:tc>
          <w:tcPr>
            <w:tcW w:w="745" w:type="dxa"/>
            <w:shd w:val="clear" w:color="auto" w:fill="auto"/>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340"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直播销售</w:t>
            </w:r>
          </w:p>
        </w:tc>
        <w:tc>
          <w:tcPr>
            <w:tcW w:w="5789" w:type="dxa"/>
            <w:vAlign w:val="center"/>
          </w:tcPr>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旨在培养新型直播人才，使学生掌握直播销售基础知识，理解直播平台规则、直播相关管理规定、直播技巧和历史直播总结报告等内容，让学生能够完成商品信息梳理、商品定位，打造主播人设标签，能够编制整场直播脚本、单品脚本、应急预案脚本，能够进行商品讲解，能够辨识粉丝类型，完成直播复盘。</w:t>
            </w:r>
          </w:p>
        </w:tc>
        <w:tc>
          <w:tcPr>
            <w:tcW w:w="745"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340" w:type="dxa"/>
            <w:shd w:val="clear" w:color="auto" w:fill="auto"/>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直播运营实务</w:t>
            </w:r>
          </w:p>
        </w:tc>
        <w:tc>
          <w:tcPr>
            <w:tcW w:w="5789" w:type="dxa"/>
            <w:shd w:val="clear" w:color="auto" w:fill="auto"/>
            <w:vAlign w:val="center"/>
          </w:tcPr>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包括直播销售准备、直播创建、直播间气氛调控与维护、直播数据监控及流量维护、直播过程应急处理等工作内容。要求学生掌握直播运营基础知识。理解直播平台规则、直播相关管理规定、直播流程和直播脚本等内容。能够完成直播申请、销售准备、虚拟物料准备、预热海报制作、预告、引流工作。</w:t>
            </w:r>
          </w:p>
        </w:tc>
        <w:tc>
          <w:tcPr>
            <w:tcW w:w="745"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w:t>
            </w:r>
          </w:p>
        </w:tc>
      </w:tr>
    </w:tbl>
    <w:p>
      <w:pPr>
        <w:numPr>
          <w:ilvl w:val="0"/>
          <w:numId w:val="8"/>
        </w:numPr>
        <w:tabs>
          <w:tab w:val="left" w:pos="312"/>
        </w:tabs>
        <w:spacing w:after="156" w:afterLines="5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专业拓展课程</w:t>
      </w:r>
    </w:p>
    <w:p>
      <w:pPr>
        <w:tabs>
          <w:tab w:val="left" w:pos="312"/>
        </w:tabs>
        <w:spacing w:after="156" w:afterLines="50" w:line="360" w:lineRule="auto"/>
        <w:ind w:left="630"/>
        <w:jc w:val="center"/>
        <w:rPr>
          <w:rFonts w:hint="eastAsia" w:asciiTheme="minorEastAsia" w:hAnsiTheme="minorEastAsia" w:eastAsiaTheme="minorEastAsia" w:cstheme="minorEastAsia"/>
          <w:sz w:val="24"/>
          <w:szCs w:val="24"/>
        </w:rPr>
      </w:pPr>
      <w:r>
        <w:rPr>
          <w:rFonts w:hint="eastAsia" w:ascii="方正仿宋简体" w:hAnsi="方正仿宋简体" w:eastAsia="方正仿宋简体" w:cs="方正仿宋简体"/>
          <w:sz w:val="24"/>
          <w:szCs w:val="24"/>
        </w:rPr>
        <w:t>表6 专业拓展课</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322"/>
        <w:gridCol w:w="5786"/>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序号</w:t>
            </w:r>
          </w:p>
        </w:tc>
        <w:tc>
          <w:tcPr>
            <w:tcW w:w="1322"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课程名称</w:t>
            </w:r>
          </w:p>
        </w:tc>
        <w:tc>
          <w:tcPr>
            <w:tcW w:w="5786"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主要教学内容和要求</w:t>
            </w:r>
          </w:p>
        </w:tc>
        <w:tc>
          <w:tcPr>
            <w:tcW w:w="747" w:type="dxa"/>
            <w:shd w:val="clear" w:color="auto" w:fill="DEEBF7"/>
            <w:vAlign w:val="center"/>
          </w:tcPr>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22"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商务沟通与礼仪</w:t>
            </w:r>
          </w:p>
        </w:tc>
        <w:tc>
          <w:tcPr>
            <w:tcW w:w="5786" w:type="dxa"/>
          </w:tcPr>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的任务是培养学生的礼仪意识，提高学生自身的礼仪修养，增强人际交往能力、应变能力及应用商务礼仪知识的能力，了解沟通的基本原则并掌握实用的沟通技巧，从而全面培养学生的沟通实践能力，提高学生的综合素质和社会适应性。</w:t>
            </w:r>
          </w:p>
        </w:tc>
        <w:tc>
          <w:tcPr>
            <w:tcW w:w="747"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22"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电子商务法律法规</w:t>
            </w:r>
          </w:p>
        </w:tc>
        <w:tc>
          <w:tcPr>
            <w:tcW w:w="5786" w:type="dxa"/>
          </w:tcPr>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本课程的学习，让学生电子商务法律法规方面的知识，内容包括电子商务的界定与电子商务法概述、电子商务主体法律法规、电子合同的法律法规、电子支付的法律法规、快递物流的法律法规、知识产权保护的法律法规、消费者权益保护的法律法规、安全交易的法律法规、税收的法律法规、争议解决的法律法规、电子商务的法律责任。</w:t>
            </w:r>
          </w:p>
        </w:tc>
        <w:tc>
          <w:tcPr>
            <w:tcW w:w="747"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322"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商务软文写作</w:t>
            </w:r>
          </w:p>
        </w:tc>
        <w:tc>
          <w:tcPr>
            <w:tcW w:w="5786" w:type="dxa"/>
          </w:tcPr>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主要面向B2B、B2C、O2O等网络平台的文案描述工作，旨在培养学生敏锐的市场洞察力和创造力，指导学生掌握文案策划的依据和运作方法，能够具备文案写作与创作的能力。使学生能够在文案岗位上完成广告文案创作、微博、论坛等软文写作等工作，把握文案写作的基本模式和效果预测方法，能够自我调节工作情绪和压力，为学生毕业后直接上岗从事文案工作奠定坚实的理论和实践基础。</w:t>
            </w:r>
          </w:p>
        </w:tc>
        <w:tc>
          <w:tcPr>
            <w:tcW w:w="747"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322"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电子商务数据分析（初级）</w:t>
            </w:r>
          </w:p>
        </w:tc>
        <w:tc>
          <w:tcPr>
            <w:tcW w:w="5786" w:type="dxa"/>
          </w:tcPr>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本课程旨在培养学生数据思维，帮助学生了解基础数据采集的流程，掌握数据分类与处理的方法，学会进行数据描述性分析、基础数据监控与报表制作，从而初步具备数据处理及分析能力。</w:t>
            </w:r>
          </w:p>
        </w:tc>
        <w:tc>
          <w:tcPr>
            <w:tcW w:w="747"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w:t>
            </w:r>
          </w:p>
        </w:tc>
      </w:tr>
    </w:tbl>
    <w:p>
      <w:pPr>
        <w:numPr>
          <w:ilvl w:val="0"/>
          <w:numId w:val="8"/>
        </w:numPr>
        <w:tabs>
          <w:tab w:val="left" w:pos="312"/>
        </w:tabs>
        <w:spacing w:after="156" w:afterLines="5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岗位实习</w:t>
      </w:r>
    </w:p>
    <w:p>
      <w:pPr>
        <w:spacing w:after="312" w:afterLines="100"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实习是本专业学生职业技能和职业岗位工作能力培养的最后一个环节。通过岗位实习，使学生更好的将理论与实践相结合，全面巩固、锻炼实际工作技能，为就业奠定坚实的基础；岗位实习使学生在真实的环境中训练实用技能，锻炼从事网店运营与管理、客户服务、直播运营等方面工作的综合职业能力，增强社会适应能力，提高就业竞争力、增强动手能力、协作能力、专业技术能力和对社会的认知能力，助力培养适应社会主义市场经济发展、能快速跟踪电子商务新动向和新技术的高素质、高技能人才。</w:t>
      </w:r>
    </w:p>
    <w:p>
      <w:pPr>
        <w:pStyle w:val="2"/>
        <w:numPr>
          <w:ilvl w:val="0"/>
          <w:numId w:val="1"/>
        </w:numPr>
        <w:snapToGrid w:val="0"/>
        <w:spacing w:before="0" w:after="0" w:line="360" w:lineRule="auto"/>
        <w:rPr>
          <w:rFonts w:ascii="黑体" w:hAnsi="Times New Roman"/>
          <w:sz w:val="28"/>
          <w:szCs w:val="28"/>
        </w:rPr>
      </w:pPr>
      <w:bookmarkStart w:id="44" w:name="_Toc135493322"/>
      <w:bookmarkStart w:id="45" w:name="_Toc11827"/>
      <w:bookmarkStart w:id="46" w:name="_Toc530755379"/>
      <w:r>
        <w:rPr>
          <w:rFonts w:hint="eastAsia" w:ascii="黑体" w:hAnsi="Times New Roman"/>
          <w:sz w:val="28"/>
          <w:szCs w:val="28"/>
        </w:rPr>
        <w:t>教学进程总体安排</w:t>
      </w:r>
      <w:bookmarkEnd w:id="44"/>
      <w:bookmarkEnd w:id="45"/>
      <w:bookmarkEnd w:id="46"/>
      <w:bookmarkStart w:id="47" w:name="_Toc135493323"/>
      <w:bookmarkStart w:id="48" w:name="_Toc530755380"/>
      <w:bookmarkStart w:id="49" w:name="_Toc498209938"/>
    </w:p>
    <w:p>
      <w:pPr>
        <w:numPr>
          <w:ilvl w:val="0"/>
          <w:numId w:val="9"/>
        </w:numPr>
        <w:spacing w:line="360" w:lineRule="auto"/>
        <w:ind w:firstLine="482" w:firstLineChars="200"/>
        <w:outlineLvl w:val="1"/>
        <w:rPr>
          <w:rFonts w:hint="eastAsia" w:asciiTheme="minorEastAsia" w:hAnsiTheme="minorEastAsia" w:eastAsiaTheme="minorEastAsia" w:cstheme="minorEastAsia"/>
          <w:b/>
          <w:bCs/>
          <w:sz w:val="24"/>
          <w:szCs w:val="24"/>
        </w:rPr>
      </w:pPr>
      <w:bookmarkStart w:id="50" w:name="_Toc3701"/>
      <w:r>
        <w:rPr>
          <w:rFonts w:hint="eastAsia" w:asciiTheme="minorEastAsia" w:hAnsiTheme="minorEastAsia" w:eastAsiaTheme="minorEastAsia" w:cstheme="minorEastAsia"/>
          <w:b/>
          <w:bCs/>
          <w:sz w:val="24"/>
          <w:szCs w:val="24"/>
        </w:rPr>
        <w:t>教学时间安排</w:t>
      </w:r>
      <w:bookmarkEnd w:id="47"/>
      <w:bookmarkEnd w:id="48"/>
      <w:bookmarkEnd w:id="49"/>
      <w:bookmarkEnd w:id="50"/>
    </w:p>
    <w:p>
      <w:pPr>
        <w:pStyle w:val="4"/>
        <w:spacing w:line="360" w:lineRule="auto"/>
        <w:ind w:left="0" w:leftChars="0"/>
        <w:jc w:val="center"/>
        <w:rPr>
          <w:rFonts w:hint="eastAsia" w:ascii="楷体" w:hAnsi="楷体" w:eastAsia="楷体"/>
          <w:sz w:val="24"/>
          <w:szCs w:val="24"/>
        </w:rPr>
      </w:pPr>
      <w:r>
        <w:rPr>
          <w:rFonts w:hint="eastAsia" w:ascii="方正仿宋简体" w:hAnsi="方正仿宋简体" w:eastAsia="方正仿宋简体" w:cs="方正仿宋简体"/>
          <w:sz w:val="24"/>
          <w:szCs w:val="24"/>
        </w:rPr>
        <w:t>表7 教学时间安排表</w:t>
      </w:r>
    </w:p>
    <w:tbl>
      <w:tblPr>
        <w:tblStyle w:val="11"/>
        <w:tblW w:w="852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3091"/>
        <w:gridCol w:w="893"/>
        <w:gridCol w:w="893"/>
        <w:gridCol w:w="893"/>
        <w:gridCol w:w="8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63" w:hRule="atLeast"/>
          <w:jc w:val="center"/>
        </w:trPr>
        <w:tc>
          <w:tcPr>
            <w:tcW w:w="1857" w:type="dxa"/>
            <w:shd w:val="clear" w:color="auto" w:fill="DEEBF7"/>
            <w:vAlign w:val="center"/>
          </w:tcPr>
          <w:p>
            <w:pPr>
              <w:ind w:firstLine="1155" w:firstLineChars="550"/>
              <w:rPr>
                <w:rFonts w:hint="eastAsia" w:ascii="仿宋_GB2312" w:hAnsi="宋体" w:eastAsia="仿宋_GB2312" w:cs="宋体"/>
                <w:kern w:val="0"/>
                <w:szCs w:val="21"/>
              </w:rPr>
            </w:pPr>
            <w:bookmarkStart w:id="51" w:name="_Toc530755381"/>
            <w:r>
              <w:rPr>
                <w:rFonts w:hint="eastAsia" w:ascii="仿宋_GB2312" w:hAnsi="宋体" w:eastAsia="仿宋_GB2312" w:cs="宋体"/>
                <w:kern w:val="0"/>
                <w:szCs w:val="21"/>
              </w:rPr>
              <mc:AlternateContent>
                <mc:Choice Requires="wps">
                  <w:drawing>
                    <wp:anchor distT="0" distB="0" distL="114300" distR="114300" simplePos="0" relativeHeight="251660288" behindDoc="0" locked="0" layoutInCell="1" allowOverlap="1">
                      <wp:simplePos x="0" y="0"/>
                      <wp:positionH relativeFrom="column">
                        <wp:posOffset>337185</wp:posOffset>
                      </wp:positionH>
                      <wp:positionV relativeFrom="paragraph">
                        <wp:posOffset>-1905</wp:posOffset>
                      </wp:positionV>
                      <wp:extent cx="871855" cy="593090"/>
                      <wp:effectExtent l="2540" t="3810" r="14605" b="12700"/>
                      <wp:wrapNone/>
                      <wp:docPr id="5" name="任意多边形 5"/>
                      <wp:cNvGraphicFramePr/>
                      <a:graphic xmlns:a="http://schemas.openxmlformats.org/drawingml/2006/main">
                        <a:graphicData uri="http://schemas.microsoft.com/office/word/2010/wordprocessingShape">
                          <wps:wsp>
                            <wps:cNvSpPr/>
                            <wps:spPr>
                              <a:xfrm>
                                <a:off x="0" y="0"/>
                                <a:ext cx="818515" cy="613410"/>
                              </a:xfrm>
                              <a:custGeom>
                                <a:avLst/>
                                <a:gdLst/>
                                <a:ahLst/>
                                <a:cxnLst>
                                  <a:cxn ang="0">
                                    <a:pos x="0" y="0"/>
                                  </a:cxn>
                                  <a:cxn ang="0">
                                    <a:pos x="818515" y="613410"/>
                                  </a:cxn>
                                </a:cxnLst>
                                <a:rect l="0" t="0" r="0" b="0"/>
                                <a:pathLst>
                                  <a:path w="1116" h="1122">
                                    <a:moveTo>
                                      <a:pt x="0" y="0"/>
                                    </a:moveTo>
                                    <a:lnTo>
                                      <a:pt x="1116" y="1122"/>
                                    </a:lnTo>
                                  </a:path>
                                </a:pathLst>
                              </a:custGeom>
                              <a:noFill/>
                              <a:ln w="9525" cap="flat" cmpd="sng">
                                <a:solidFill>
                                  <a:srgbClr val="000000"/>
                                </a:solidFill>
                                <a:prstDash val="solid"/>
                                <a:round/>
                                <a:headEnd type="none" w="med" len="med"/>
                                <a:tailEnd type="none" w="med" len="med"/>
                              </a:ln>
                              <a:effectLst/>
                            </wps:spPr>
                            <wps:bodyPr upright="1"/>
                          </wps:wsp>
                        </a:graphicData>
                      </a:graphic>
                    </wp:anchor>
                  </w:drawing>
                </mc:Choice>
                <mc:Fallback>
                  <w:pict>
                    <v:shape id="_x0000_s1026" o:spid="_x0000_s1026" o:spt="100" style="position:absolute;left:0pt;margin-left:26.55pt;margin-top:-0.15pt;height:46.7pt;width:68.65pt;z-index:251660288;mso-width-relative:page;mso-height-relative:page;" filled="f" stroked="t" coordsize="1116,1122" o:gfxdata="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L1Yn9MAAAAHAQAADwAAAAAAAAABACAAAAAi&#10;AAAAZHJzL2Rvd25yZXYueG1sUEsBAhQAFAAAAAgAh07iQDf6WuNIAgAA5wQAAA4AAAAAAAAAAQAg&#10;AAAAIgEAAGRycy9lMm9Eb2MueG1sUEsFBgAAAAAGAAYAWQEAANwFAAAAAA==&#10;" path="m0,0l1116,1122e">
                      <v:path o:connectlocs="0,0;818515,613410" o:connectangles="0,0"/>
                      <v:fill on="f" focussize="0,0"/>
                      <v:stroke color="#000000" joinstyle="round"/>
                      <v:imagedata o:title=""/>
                      <o:lock v:ext="edit" aspectratio="f"/>
                    </v:shape>
                  </w:pict>
                </mc:Fallback>
              </mc:AlternateContent>
            </w:r>
            <w:r>
              <w:rPr>
                <w:rFonts w:hint="eastAsia" w:ascii="仿宋_GB2312" w:hAnsi="宋体" w:eastAsia="仿宋_GB2312" w:cs="宋体"/>
                <w:kern w:val="0"/>
                <w:szCs w:val="21"/>
              </w:rPr>
              <w:t>内容</w:t>
            </w:r>
          </w:p>
          <w:p>
            <w:pPr>
              <w:ind w:firstLine="525" w:firstLineChars="250"/>
              <w:rPr>
                <w:rFonts w:hint="eastAsia" w:ascii="仿宋_GB2312" w:hAnsi="宋体" w:eastAsia="仿宋_GB2312" w:cs="宋体"/>
                <w:kern w:val="0"/>
                <w:szCs w:val="21"/>
              </w:rPr>
            </w:pPr>
            <w:r>
              <w:rPr>
                <w:rFonts w:hint="eastAsia" w:ascii="仿宋_GB2312" w:hAnsi="宋体" w:eastAsia="仿宋_GB2312" w:cs="宋体"/>
                <w:kern w:val="0"/>
                <w:szCs w:val="21"/>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64135</wp:posOffset>
                      </wp:positionV>
                      <wp:extent cx="1229360" cy="308610"/>
                      <wp:effectExtent l="1270" t="4445" r="1270" b="17145"/>
                      <wp:wrapNone/>
                      <wp:docPr id="2" name="任意多边形 2"/>
                      <wp:cNvGraphicFramePr/>
                      <a:graphic xmlns:a="http://schemas.openxmlformats.org/drawingml/2006/main">
                        <a:graphicData uri="http://schemas.microsoft.com/office/word/2010/wordprocessingShape">
                          <wps:wsp>
                            <wps:cNvSpPr/>
                            <wps:spPr>
                              <a:xfrm>
                                <a:off x="0" y="0"/>
                                <a:ext cx="1124585" cy="427355"/>
                              </a:xfrm>
                              <a:custGeom>
                                <a:avLst/>
                                <a:gdLst/>
                                <a:ahLst/>
                                <a:cxnLst>
                                  <a:cxn ang="0">
                                    <a:pos x="0" y="0"/>
                                  </a:cxn>
                                  <a:cxn ang="0">
                                    <a:pos x="1124585" y="427355"/>
                                  </a:cxn>
                                </a:cxnLst>
                                <a:rect l="0" t="0" r="0" b="0"/>
                                <a:pathLst>
                                  <a:path w="1899" h="673">
                                    <a:moveTo>
                                      <a:pt x="0" y="0"/>
                                    </a:moveTo>
                                    <a:lnTo>
                                      <a:pt x="1899" y="673"/>
                                    </a:lnTo>
                                  </a:path>
                                </a:pathLst>
                              </a:custGeom>
                              <a:noFill/>
                              <a:ln w="9525" cap="flat" cmpd="sng">
                                <a:solidFill>
                                  <a:srgbClr val="000000"/>
                                </a:solidFill>
                                <a:prstDash val="solid"/>
                                <a:round/>
                                <a:headEnd type="none" w="med" len="med"/>
                                <a:tailEnd type="none" w="med" len="med"/>
                              </a:ln>
                              <a:effectLst/>
                            </wps:spPr>
                            <wps:bodyPr upright="1"/>
                          </wps:wsp>
                        </a:graphicData>
                      </a:graphic>
                    </wp:anchor>
                  </w:drawing>
                </mc:Choice>
                <mc:Fallback>
                  <w:pict>
                    <v:shape id="_x0000_s1026" o:spid="_x0000_s1026" o:spt="100" style="position:absolute;left:0pt;margin-left:-2.9pt;margin-top:5.05pt;height:24.3pt;width:96.8pt;z-index:251661312;mso-width-relative:page;mso-height-relative:page;" filled="f" stroked="t" coordsize="1899,673" o:gfxdata="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MrimrUAAAACAEAAA8AAAAAAAAAAQAg&#10;AAAAIgAAAGRycy9kb3ducmV2LnhtbFBLAQIUABQAAAAIAIdO4kBKf4ogSwIAAOcEAAAOAAAAAAAA&#10;AAEAIAAAACMBAABkcnMvZTJvRG9jLnhtbFBLBQYAAAAABgAGAFkBAADgBQAAAAA=&#10;" path="m0,0l1899,673e">
                      <v:path o:connectlocs="0,0;1124585,427355" o:connectangles="0,0"/>
                      <v:fill on="f" focussize="0,0"/>
                      <v:stroke color="#000000" joinstyle="round"/>
                      <v:imagedata o:title=""/>
                      <o:lock v:ext="edit" aspectratio="f"/>
                    </v:shape>
                  </w:pict>
                </mc:Fallback>
              </mc:AlternateContent>
            </w:r>
            <w:r>
              <w:rPr>
                <w:rFonts w:hint="eastAsia" w:ascii="仿宋_GB2312" w:hAnsi="宋体" w:eastAsia="仿宋_GB2312" w:cs="宋体"/>
                <w:kern w:val="0"/>
                <w:szCs w:val="21"/>
              </w:rPr>
              <w:t>周数</w:t>
            </w:r>
          </w:p>
          <w:p>
            <w:pPr>
              <w:rPr>
                <w:rFonts w:hint="eastAsia" w:ascii="仿宋_GB2312" w:hAnsi="宋体" w:eastAsia="仿宋_GB2312" w:cs="宋体"/>
                <w:kern w:val="0"/>
                <w:szCs w:val="21"/>
              </w:rPr>
            </w:pPr>
            <w:r>
              <w:rPr>
                <w:rFonts w:hint="eastAsia" w:ascii="仿宋_GB2312" w:hAnsi="宋体" w:eastAsia="仿宋_GB2312" w:cs="宋体"/>
                <w:kern w:val="0"/>
                <w:szCs w:val="21"/>
              </w:rPr>
              <w:t>学年</w:t>
            </w:r>
          </w:p>
        </w:tc>
        <w:tc>
          <w:tcPr>
            <w:tcW w:w="3091" w:type="dxa"/>
            <w:shd w:val="clear" w:color="auto" w:fill="DEEBF7"/>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教学（含理实一体教学</w:t>
            </w:r>
          </w:p>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及专门化集中实训）</w:t>
            </w:r>
          </w:p>
        </w:tc>
        <w:tc>
          <w:tcPr>
            <w:tcW w:w="893" w:type="dxa"/>
            <w:shd w:val="clear" w:color="auto" w:fill="DEEBF7"/>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复习</w:t>
            </w:r>
          </w:p>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考试</w:t>
            </w:r>
          </w:p>
        </w:tc>
        <w:tc>
          <w:tcPr>
            <w:tcW w:w="893" w:type="dxa"/>
            <w:shd w:val="clear" w:color="auto" w:fill="DEEBF7"/>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机动</w:t>
            </w:r>
          </w:p>
        </w:tc>
        <w:tc>
          <w:tcPr>
            <w:tcW w:w="893" w:type="dxa"/>
            <w:shd w:val="clear" w:color="auto" w:fill="DEEBF7"/>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假期</w:t>
            </w:r>
          </w:p>
        </w:tc>
        <w:tc>
          <w:tcPr>
            <w:tcW w:w="895" w:type="dxa"/>
            <w:shd w:val="clear" w:color="auto" w:fill="DEEBF7"/>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周数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857"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一</w:t>
            </w:r>
          </w:p>
        </w:tc>
        <w:tc>
          <w:tcPr>
            <w:tcW w:w="3091"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36</w:t>
            </w:r>
          </w:p>
        </w:tc>
        <w:tc>
          <w:tcPr>
            <w:tcW w:w="893"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893"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893"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895"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857"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二</w:t>
            </w:r>
          </w:p>
        </w:tc>
        <w:tc>
          <w:tcPr>
            <w:tcW w:w="3091"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36</w:t>
            </w:r>
          </w:p>
        </w:tc>
        <w:tc>
          <w:tcPr>
            <w:tcW w:w="893"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893"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893"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895"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857"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三</w:t>
            </w:r>
          </w:p>
        </w:tc>
        <w:tc>
          <w:tcPr>
            <w:tcW w:w="3091"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38（其中，岗位实习</w:t>
            </w:r>
            <w:r>
              <w:rPr>
                <w:rFonts w:ascii="仿宋_GB2312" w:hAnsi="宋体" w:eastAsia="仿宋_GB2312" w:cs="宋体"/>
                <w:kern w:val="0"/>
                <w:szCs w:val="21"/>
              </w:rPr>
              <w:t>2</w:t>
            </w:r>
            <w:r>
              <w:rPr>
                <w:rFonts w:hint="eastAsia" w:ascii="仿宋_GB2312" w:hAnsi="宋体" w:eastAsia="仿宋_GB2312" w:cs="宋体"/>
                <w:kern w:val="0"/>
                <w:szCs w:val="21"/>
              </w:rPr>
              <w:t>0周）</w:t>
            </w:r>
          </w:p>
        </w:tc>
        <w:tc>
          <w:tcPr>
            <w:tcW w:w="893"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93"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93"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895" w:type="dxa"/>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45</w:t>
            </w:r>
          </w:p>
        </w:tc>
      </w:tr>
    </w:tbl>
    <w:p>
      <w:pPr>
        <w:widowControl/>
        <w:numPr>
          <w:ilvl w:val="0"/>
          <w:numId w:val="9"/>
        </w:numPr>
        <w:spacing w:line="360" w:lineRule="auto"/>
        <w:ind w:firstLine="480" w:firstLineChars="200"/>
        <w:jc w:val="left"/>
        <w:outlineLvl w:val="1"/>
        <w:rPr>
          <w:rFonts w:hint="eastAsia" w:asciiTheme="minorEastAsia" w:hAnsiTheme="minorEastAsia" w:eastAsiaTheme="minorEastAsia" w:cstheme="minorEastAsia"/>
          <w:b/>
          <w:bCs/>
          <w:sz w:val="24"/>
          <w:szCs w:val="24"/>
        </w:rPr>
      </w:pPr>
      <w:r>
        <w:rPr>
          <w:rFonts w:ascii="楷体" w:hAnsi="楷体" w:eastAsia="楷体"/>
          <w:sz w:val="24"/>
          <w:szCs w:val="24"/>
        </w:rPr>
        <w:br w:type="page"/>
      </w:r>
      <w:bookmarkEnd w:id="51"/>
      <w:bookmarkStart w:id="52" w:name="_Toc5859"/>
      <w:r>
        <w:rPr>
          <w:rFonts w:hint="eastAsia" w:asciiTheme="minorEastAsia" w:hAnsiTheme="minorEastAsia" w:eastAsiaTheme="minorEastAsia" w:cstheme="minorEastAsia"/>
          <w:b/>
          <w:bCs/>
          <w:sz w:val="24"/>
          <w:szCs w:val="24"/>
        </w:rPr>
        <w:t>授课计划安排建议表</w:t>
      </w:r>
      <w:bookmarkEnd w:id="52"/>
    </w:p>
    <w:p>
      <w:pPr>
        <w:pStyle w:val="4"/>
        <w:spacing w:line="360" w:lineRule="auto"/>
        <w:ind w:left="0" w:leftChars="0"/>
        <w:jc w:val="center"/>
        <w:rPr>
          <w:rFonts w:hint="eastAsia" w:asciiTheme="minorEastAsia" w:hAnsiTheme="minorEastAsia" w:eastAsiaTheme="minorEastAsia" w:cstheme="minorEastAsia"/>
          <w:b/>
          <w:bCs/>
          <w:sz w:val="24"/>
          <w:szCs w:val="24"/>
        </w:rPr>
      </w:pPr>
      <w:r>
        <w:rPr>
          <w:rFonts w:hint="eastAsia" w:ascii="方正仿宋简体" w:hAnsi="方正仿宋简体" w:eastAsia="方正仿宋简体" w:cs="方正仿宋简体"/>
          <w:sz w:val="24"/>
          <w:szCs w:val="24"/>
        </w:rPr>
        <w:t>表8 授课计划安排表</w:t>
      </w:r>
    </w:p>
    <w:tbl>
      <w:tblPr>
        <w:tblStyle w:val="11"/>
        <w:tblpPr w:leftFromText="180" w:rightFromText="180" w:vertAnchor="text" w:tblpXSpec="center" w:tblpY="1"/>
        <w:tblOverlap w:val="never"/>
        <w:tblW w:w="851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1"/>
        <w:gridCol w:w="464"/>
        <w:gridCol w:w="395"/>
        <w:gridCol w:w="2197"/>
        <w:gridCol w:w="727"/>
        <w:gridCol w:w="765"/>
        <w:gridCol w:w="663"/>
        <w:gridCol w:w="375"/>
        <w:gridCol w:w="559"/>
        <w:gridCol w:w="500"/>
        <w:gridCol w:w="500"/>
        <w:gridCol w:w="420"/>
        <w:gridCol w:w="4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tblHeader/>
          <w:jc w:val="center"/>
        </w:trPr>
        <w:tc>
          <w:tcPr>
            <w:tcW w:w="925" w:type="dxa"/>
            <w:gridSpan w:val="2"/>
            <w:vMerge w:val="restart"/>
            <w:shd w:val="clear" w:color="auto" w:fill="DEEBF7"/>
            <w:vAlign w:val="center"/>
          </w:tcPr>
          <w:p>
            <w:pPr>
              <w:adjustRightInd w:val="0"/>
              <w:snapToGrid w:val="0"/>
              <w:jc w:val="center"/>
              <w:rPr>
                <w:rFonts w:hint="eastAsia" w:ascii="仿宋_GB2312" w:hAnsi="宋体" w:eastAsia="仿宋_GB2312" w:cs="宋体"/>
                <w:kern w:val="0"/>
                <w:sz w:val="18"/>
                <w:szCs w:val="18"/>
              </w:rPr>
            </w:pPr>
            <w:bookmarkStart w:id="53" w:name="_Toc530755382"/>
            <w:r>
              <w:rPr>
                <w:rFonts w:hint="eastAsia" w:ascii="仿宋_GB2312" w:hAnsi="宋体" w:eastAsia="仿宋_GB2312" w:cs="宋体"/>
                <w:kern w:val="0"/>
                <w:sz w:val="18"/>
                <w:szCs w:val="18"/>
              </w:rPr>
              <w:t>课</w:t>
            </w:r>
          </w:p>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程</w:t>
            </w:r>
          </w:p>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类</w:t>
            </w:r>
          </w:p>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别</w:t>
            </w:r>
          </w:p>
        </w:tc>
        <w:tc>
          <w:tcPr>
            <w:tcW w:w="395" w:type="dxa"/>
            <w:vMerge w:val="restart"/>
            <w:shd w:val="clear" w:color="auto" w:fill="DEEBF7"/>
            <w:vAlign w:val="center"/>
          </w:tcPr>
          <w:p>
            <w:pPr>
              <w:adjustRightInd w:val="0"/>
              <w:snapToGrid w:val="0"/>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序号</w:t>
            </w:r>
          </w:p>
        </w:tc>
        <w:tc>
          <w:tcPr>
            <w:tcW w:w="2197" w:type="dxa"/>
            <w:vMerge w:val="restart"/>
            <w:shd w:val="clear" w:color="auto" w:fill="DEEBF7"/>
            <w:vAlign w:val="center"/>
          </w:tcPr>
          <w:p>
            <w:pPr>
              <w:pStyle w:val="16"/>
              <w:adjustRightInd w:val="0"/>
              <w:snapToGrid w:val="0"/>
              <w:rPr>
                <w:rFonts w:hint="eastAsia" w:ascii="仿宋_GB2312" w:hAnsi="宋体" w:cs="宋体"/>
                <w:szCs w:val="18"/>
              </w:rPr>
            </w:pPr>
            <w:r>
              <w:rPr>
                <w:rFonts w:hint="eastAsia" w:ascii="仿宋_GB2312" w:hAnsi="宋体" w:cs="宋体"/>
                <w:szCs w:val="18"/>
              </w:rPr>
              <w:t>课程名称</w:t>
            </w:r>
          </w:p>
        </w:tc>
        <w:tc>
          <w:tcPr>
            <w:tcW w:w="727" w:type="dxa"/>
            <w:vMerge w:val="restart"/>
            <w:shd w:val="clear" w:color="auto" w:fill="DEEBF7"/>
            <w:textDirection w:val="tbRlV"/>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学时</w:t>
            </w:r>
          </w:p>
        </w:tc>
        <w:tc>
          <w:tcPr>
            <w:tcW w:w="765" w:type="dxa"/>
            <w:vMerge w:val="restart"/>
            <w:shd w:val="clear" w:color="auto" w:fill="DEEBF7"/>
            <w:textDirection w:val="tbRlV"/>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学分</w:t>
            </w:r>
          </w:p>
        </w:tc>
        <w:tc>
          <w:tcPr>
            <w:tcW w:w="663" w:type="dxa"/>
            <w:vMerge w:val="restart"/>
            <w:shd w:val="clear" w:color="auto" w:fill="DEEBF7"/>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实践学时</w:t>
            </w:r>
          </w:p>
        </w:tc>
        <w:tc>
          <w:tcPr>
            <w:tcW w:w="2845" w:type="dxa"/>
            <w:gridSpan w:val="6"/>
            <w:shd w:val="clear" w:color="auto" w:fill="DEEBF7"/>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按学年、学期教学进程安排</w:t>
            </w:r>
          </w:p>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（周学时/教学周数）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exact"/>
          <w:tblHeader/>
          <w:jc w:val="center"/>
        </w:trPr>
        <w:tc>
          <w:tcPr>
            <w:tcW w:w="925" w:type="dxa"/>
            <w:gridSpan w:val="2"/>
            <w:vMerge w:val="continue"/>
            <w:shd w:val="clear" w:color="auto" w:fill="DEEBF7"/>
            <w:vAlign w:val="center"/>
          </w:tcPr>
          <w:p>
            <w:pPr>
              <w:adjustRightInd w:val="0"/>
              <w:snapToGrid w:val="0"/>
              <w:jc w:val="center"/>
              <w:rPr>
                <w:rFonts w:hint="eastAsia" w:ascii="仿宋_GB2312" w:hAnsi="宋体" w:eastAsia="仿宋_GB2312" w:cs="宋体"/>
                <w:kern w:val="0"/>
                <w:sz w:val="18"/>
                <w:szCs w:val="18"/>
              </w:rPr>
            </w:pPr>
          </w:p>
        </w:tc>
        <w:tc>
          <w:tcPr>
            <w:tcW w:w="395" w:type="dxa"/>
            <w:vMerge w:val="continue"/>
            <w:shd w:val="clear" w:color="auto" w:fill="DEEBF7"/>
            <w:vAlign w:val="center"/>
          </w:tcPr>
          <w:p>
            <w:pPr>
              <w:adjustRightInd w:val="0"/>
              <w:snapToGrid w:val="0"/>
              <w:rPr>
                <w:rFonts w:hint="eastAsia" w:ascii="仿宋_GB2312" w:hAnsi="宋体" w:eastAsia="仿宋_GB2312" w:cs="宋体"/>
                <w:kern w:val="0"/>
                <w:sz w:val="18"/>
                <w:szCs w:val="18"/>
              </w:rPr>
            </w:pPr>
          </w:p>
        </w:tc>
        <w:tc>
          <w:tcPr>
            <w:tcW w:w="2197" w:type="dxa"/>
            <w:vMerge w:val="continue"/>
            <w:shd w:val="clear" w:color="auto" w:fill="DEEBF7"/>
            <w:vAlign w:val="center"/>
          </w:tcPr>
          <w:p>
            <w:pPr>
              <w:adjustRightInd w:val="0"/>
              <w:snapToGrid w:val="0"/>
              <w:rPr>
                <w:rFonts w:hint="eastAsia" w:ascii="仿宋_GB2312" w:hAnsi="宋体" w:eastAsia="仿宋_GB2312" w:cs="宋体"/>
                <w:kern w:val="0"/>
                <w:sz w:val="18"/>
                <w:szCs w:val="18"/>
              </w:rPr>
            </w:pPr>
          </w:p>
        </w:tc>
        <w:tc>
          <w:tcPr>
            <w:tcW w:w="727" w:type="dxa"/>
            <w:vMerge w:val="continue"/>
            <w:shd w:val="clear" w:color="auto" w:fill="DEEBF7"/>
            <w:vAlign w:val="center"/>
          </w:tcPr>
          <w:p>
            <w:pPr>
              <w:adjustRightInd w:val="0"/>
              <w:snapToGrid w:val="0"/>
              <w:jc w:val="center"/>
              <w:rPr>
                <w:rFonts w:hint="eastAsia" w:ascii="仿宋_GB2312" w:hAnsi="宋体" w:eastAsia="仿宋_GB2312" w:cs="宋体"/>
                <w:kern w:val="0"/>
                <w:sz w:val="18"/>
                <w:szCs w:val="18"/>
              </w:rPr>
            </w:pPr>
          </w:p>
        </w:tc>
        <w:tc>
          <w:tcPr>
            <w:tcW w:w="765" w:type="dxa"/>
            <w:vMerge w:val="continue"/>
            <w:shd w:val="clear" w:color="auto" w:fill="DEEBF7"/>
            <w:vAlign w:val="center"/>
          </w:tcPr>
          <w:p>
            <w:pPr>
              <w:adjustRightInd w:val="0"/>
              <w:snapToGrid w:val="0"/>
              <w:jc w:val="center"/>
              <w:rPr>
                <w:rFonts w:hint="eastAsia" w:ascii="仿宋_GB2312" w:hAnsi="宋体" w:eastAsia="仿宋_GB2312" w:cs="宋体"/>
                <w:kern w:val="0"/>
                <w:sz w:val="18"/>
                <w:szCs w:val="18"/>
              </w:rPr>
            </w:pPr>
          </w:p>
        </w:tc>
        <w:tc>
          <w:tcPr>
            <w:tcW w:w="663" w:type="dxa"/>
            <w:vMerge w:val="continue"/>
            <w:shd w:val="clear" w:color="auto" w:fill="DEEBF7"/>
            <w:vAlign w:val="center"/>
          </w:tcPr>
          <w:p>
            <w:pPr>
              <w:adjustRightInd w:val="0"/>
              <w:snapToGrid w:val="0"/>
              <w:jc w:val="center"/>
              <w:rPr>
                <w:rFonts w:hint="eastAsia" w:ascii="仿宋_GB2312" w:hAnsi="宋体" w:eastAsia="仿宋_GB2312" w:cs="宋体"/>
                <w:kern w:val="0"/>
                <w:sz w:val="18"/>
                <w:szCs w:val="18"/>
              </w:rPr>
            </w:pPr>
          </w:p>
        </w:tc>
        <w:tc>
          <w:tcPr>
            <w:tcW w:w="934" w:type="dxa"/>
            <w:gridSpan w:val="2"/>
            <w:shd w:val="clear" w:color="auto" w:fill="DEEBF7"/>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第一</w:t>
            </w:r>
          </w:p>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学年</w:t>
            </w:r>
          </w:p>
        </w:tc>
        <w:tc>
          <w:tcPr>
            <w:tcW w:w="1000" w:type="dxa"/>
            <w:gridSpan w:val="2"/>
            <w:shd w:val="clear" w:color="auto" w:fill="DEEBF7"/>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第二</w:t>
            </w:r>
          </w:p>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学年</w:t>
            </w:r>
          </w:p>
        </w:tc>
        <w:tc>
          <w:tcPr>
            <w:tcW w:w="911" w:type="dxa"/>
            <w:gridSpan w:val="2"/>
            <w:shd w:val="clear" w:color="auto" w:fill="DEEBF7"/>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第三</w:t>
            </w:r>
          </w:p>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学年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blHeader/>
          <w:jc w:val="center"/>
        </w:trPr>
        <w:tc>
          <w:tcPr>
            <w:tcW w:w="925" w:type="dxa"/>
            <w:gridSpan w:val="2"/>
            <w:vMerge w:val="continue"/>
            <w:shd w:val="clear" w:color="auto" w:fill="DEEBF7"/>
            <w:vAlign w:val="center"/>
          </w:tcPr>
          <w:p>
            <w:pPr>
              <w:adjustRightInd w:val="0"/>
              <w:snapToGrid w:val="0"/>
              <w:jc w:val="center"/>
              <w:rPr>
                <w:rFonts w:hint="eastAsia" w:ascii="仿宋_GB2312" w:hAnsi="宋体" w:eastAsia="仿宋_GB2312" w:cs="宋体"/>
                <w:kern w:val="0"/>
                <w:sz w:val="18"/>
                <w:szCs w:val="18"/>
              </w:rPr>
            </w:pPr>
          </w:p>
        </w:tc>
        <w:tc>
          <w:tcPr>
            <w:tcW w:w="395" w:type="dxa"/>
            <w:vMerge w:val="continue"/>
            <w:shd w:val="clear" w:color="auto" w:fill="DEEBF7"/>
            <w:vAlign w:val="center"/>
          </w:tcPr>
          <w:p>
            <w:pPr>
              <w:adjustRightInd w:val="0"/>
              <w:snapToGrid w:val="0"/>
              <w:rPr>
                <w:rFonts w:hint="eastAsia" w:ascii="仿宋_GB2312" w:hAnsi="宋体" w:eastAsia="仿宋_GB2312" w:cs="宋体"/>
                <w:kern w:val="0"/>
                <w:sz w:val="18"/>
                <w:szCs w:val="18"/>
              </w:rPr>
            </w:pPr>
          </w:p>
        </w:tc>
        <w:tc>
          <w:tcPr>
            <w:tcW w:w="2197" w:type="dxa"/>
            <w:vMerge w:val="continue"/>
            <w:shd w:val="clear" w:color="auto" w:fill="DEEBF7"/>
            <w:vAlign w:val="center"/>
          </w:tcPr>
          <w:p>
            <w:pPr>
              <w:adjustRightInd w:val="0"/>
              <w:snapToGrid w:val="0"/>
              <w:rPr>
                <w:rFonts w:hint="eastAsia" w:ascii="仿宋_GB2312" w:hAnsi="宋体" w:eastAsia="仿宋_GB2312" w:cs="宋体"/>
                <w:kern w:val="0"/>
                <w:sz w:val="18"/>
                <w:szCs w:val="18"/>
              </w:rPr>
            </w:pPr>
          </w:p>
        </w:tc>
        <w:tc>
          <w:tcPr>
            <w:tcW w:w="727" w:type="dxa"/>
            <w:vMerge w:val="continue"/>
            <w:shd w:val="clear" w:color="auto" w:fill="DEEBF7"/>
            <w:vAlign w:val="center"/>
          </w:tcPr>
          <w:p>
            <w:pPr>
              <w:adjustRightInd w:val="0"/>
              <w:snapToGrid w:val="0"/>
              <w:jc w:val="center"/>
              <w:rPr>
                <w:rFonts w:hint="eastAsia" w:ascii="仿宋_GB2312" w:hAnsi="宋体" w:eastAsia="仿宋_GB2312" w:cs="宋体"/>
                <w:kern w:val="0"/>
                <w:sz w:val="18"/>
                <w:szCs w:val="18"/>
              </w:rPr>
            </w:pPr>
          </w:p>
        </w:tc>
        <w:tc>
          <w:tcPr>
            <w:tcW w:w="765" w:type="dxa"/>
            <w:vMerge w:val="continue"/>
            <w:shd w:val="clear" w:color="auto" w:fill="DEEBF7"/>
            <w:vAlign w:val="center"/>
          </w:tcPr>
          <w:p>
            <w:pPr>
              <w:adjustRightInd w:val="0"/>
              <w:snapToGrid w:val="0"/>
              <w:jc w:val="center"/>
              <w:rPr>
                <w:rFonts w:hint="eastAsia" w:ascii="仿宋_GB2312" w:hAnsi="宋体" w:eastAsia="仿宋_GB2312" w:cs="宋体"/>
                <w:kern w:val="0"/>
                <w:sz w:val="18"/>
                <w:szCs w:val="18"/>
              </w:rPr>
            </w:pPr>
          </w:p>
        </w:tc>
        <w:tc>
          <w:tcPr>
            <w:tcW w:w="663" w:type="dxa"/>
            <w:vMerge w:val="continue"/>
            <w:shd w:val="clear" w:color="auto" w:fill="DEEBF7"/>
            <w:vAlign w:val="center"/>
          </w:tcPr>
          <w:p>
            <w:pPr>
              <w:adjustRightInd w:val="0"/>
              <w:snapToGrid w:val="0"/>
              <w:jc w:val="center"/>
              <w:rPr>
                <w:rFonts w:hint="eastAsia" w:ascii="仿宋_GB2312" w:hAnsi="宋体" w:eastAsia="仿宋_GB2312" w:cs="宋体"/>
                <w:kern w:val="0"/>
                <w:sz w:val="18"/>
                <w:szCs w:val="18"/>
              </w:rPr>
            </w:pPr>
          </w:p>
        </w:tc>
        <w:tc>
          <w:tcPr>
            <w:tcW w:w="375" w:type="dxa"/>
            <w:shd w:val="clear" w:color="auto" w:fill="DEEBF7"/>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59" w:type="dxa"/>
            <w:shd w:val="clear" w:color="auto" w:fill="DEEBF7"/>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00" w:type="dxa"/>
            <w:shd w:val="clear" w:color="auto" w:fill="DEEBF7"/>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00" w:type="dxa"/>
            <w:shd w:val="clear" w:color="auto" w:fill="DEEBF7"/>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420" w:type="dxa"/>
            <w:shd w:val="clear" w:color="auto" w:fill="DEEBF7"/>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491" w:type="dxa"/>
            <w:shd w:val="clear" w:color="auto" w:fill="DEEBF7"/>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restart"/>
            <w:textDirection w:val="tbRlV"/>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公共基础课程</w:t>
            </w:r>
          </w:p>
        </w:tc>
        <w:tc>
          <w:tcPr>
            <w:tcW w:w="464" w:type="dxa"/>
            <w:vMerge w:val="restart"/>
            <w:textDirection w:val="tbRlV"/>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公共必修课程</w:t>
            </w: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197"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思想政治</w:t>
            </w:r>
          </w:p>
        </w:tc>
        <w:tc>
          <w:tcPr>
            <w:tcW w:w="727"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144</w:t>
            </w:r>
          </w:p>
        </w:tc>
        <w:tc>
          <w:tcPr>
            <w:tcW w:w="76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663" w:type="dxa"/>
            <w:vAlign w:val="center"/>
          </w:tcPr>
          <w:p>
            <w:pPr>
              <w:adjustRightInd w:val="0"/>
              <w:snapToGrid w:val="0"/>
              <w:jc w:val="center"/>
              <w:rPr>
                <w:rFonts w:hint="eastAsia" w:ascii="仿宋_GB2312" w:hAnsi="宋体" w:eastAsia="仿宋_GB2312" w:cs="宋体"/>
                <w:kern w:val="0"/>
                <w:sz w:val="18"/>
                <w:szCs w:val="18"/>
              </w:rPr>
            </w:pPr>
          </w:p>
        </w:tc>
        <w:tc>
          <w:tcPr>
            <w:tcW w:w="37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59"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00"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00"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语文</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198</w:t>
            </w:r>
          </w:p>
        </w:tc>
        <w:tc>
          <w:tcPr>
            <w:tcW w:w="76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r>
              <w:rPr>
                <w:rFonts w:ascii="仿宋_GB2312" w:hAnsi="仿宋_GB2312" w:eastAsia="仿宋_GB2312" w:cs="仿宋_GB2312"/>
                <w:kern w:val="0"/>
                <w:sz w:val="18"/>
                <w:szCs w:val="18"/>
              </w:rPr>
              <w:t>1</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3</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历史</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72</w:t>
            </w:r>
          </w:p>
        </w:tc>
        <w:tc>
          <w:tcPr>
            <w:tcW w:w="76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数学</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144</w:t>
            </w:r>
          </w:p>
        </w:tc>
        <w:tc>
          <w:tcPr>
            <w:tcW w:w="76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3</w:t>
            </w: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3</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2</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英语</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r>
              <w:rPr>
                <w:rFonts w:ascii="仿宋_GB2312" w:hAnsi="仿宋_GB2312" w:eastAsia="仿宋_GB2312" w:cs="仿宋_GB2312"/>
                <w:kern w:val="0"/>
                <w:sz w:val="18"/>
                <w:szCs w:val="18"/>
              </w:rPr>
              <w:t>44</w:t>
            </w:r>
          </w:p>
        </w:tc>
        <w:tc>
          <w:tcPr>
            <w:tcW w:w="76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3</w:t>
            </w: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3</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信息技术</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144</w:t>
            </w:r>
          </w:p>
        </w:tc>
        <w:tc>
          <w:tcPr>
            <w:tcW w:w="76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108</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体育与健康</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144</w:t>
            </w:r>
          </w:p>
        </w:tc>
        <w:tc>
          <w:tcPr>
            <w:tcW w:w="76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72</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艺术</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76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8"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劳动教育</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36</w:t>
            </w:r>
          </w:p>
        </w:tc>
        <w:tc>
          <w:tcPr>
            <w:tcW w:w="765"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2</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2592" w:type="dxa"/>
            <w:gridSpan w:val="2"/>
            <w:vAlign w:val="center"/>
          </w:tcPr>
          <w:p>
            <w:pPr>
              <w:adjustRightInd w:val="0"/>
              <w:snapToGrid w:val="0"/>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小计（占总课时比例32.2%）</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r>
              <w:rPr>
                <w:rFonts w:ascii="仿宋_GB2312" w:hAnsi="仿宋_GB2312" w:eastAsia="仿宋_GB2312" w:cs="仿宋_GB2312"/>
                <w:kern w:val="0"/>
                <w:sz w:val="18"/>
                <w:szCs w:val="18"/>
              </w:rPr>
              <w:t>062</w:t>
            </w:r>
          </w:p>
        </w:tc>
        <w:tc>
          <w:tcPr>
            <w:tcW w:w="765"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59</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214</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r>
              <w:rPr>
                <w:rFonts w:ascii="仿宋_GB2312" w:hAnsi="仿宋_GB2312" w:eastAsia="仿宋_GB2312" w:cs="仿宋_GB2312"/>
                <w:kern w:val="0"/>
                <w:sz w:val="18"/>
                <w:szCs w:val="18"/>
              </w:rPr>
              <w:t>2</w:t>
            </w: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r>
              <w:rPr>
                <w:rFonts w:ascii="仿宋_GB2312" w:hAnsi="仿宋_GB2312" w:eastAsia="仿宋_GB2312" w:cs="仿宋_GB2312"/>
                <w:kern w:val="0"/>
                <w:sz w:val="18"/>
                <w:szCs w:val="18"/>
              </w:rPr>
              <w:t>2</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r>
              <w:rPr>
                <w:rFonts w:ascii="仿宋_GB2312" w:hAnsi="仿宋_GB2312" w:eastAsia="仿宋_GB2312" w:cs="仿宋_GB2312"/>
                <w:kern w:val="0"/>
                <w:sz w:val="18"/>
                <w:szCs w:val="18"/>
              </w:rPr>
              <w:t>1</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4</w:t>
            </w: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0</w:t>
            </w:r>
          </w:p>
        </w:tc>
        <w:tc>
          <w:tcPr>
            <w:tcW w:w="491"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restart"/>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公共选修课程</w:t>
            </w: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197"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仿宋_GB2312" w:eastAsia="仿宋_GB2312" w:cs="仿宋_GB2312"/>
                <w:kern w:val="0"/>
                <w:sz w:val="18"/>
                <w:szCs w:val="18"/>
              </w:rPr>
              <w:t>海洋科学</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36</w:t>
            </w:r>
          </w:p>
        </w:tc>
        <w:tc>
          <w:tcPr>
            <w:tcW w:w="765"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2</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375" w:type="dxa"/>
            <w:vAlign w:val="center"/>
          </w:tcPr>
          <w:p>
            <w:pPr>
              <w:adjustRightInd w:val="0"/>
              <w:snapToGrid w:val="0"/>
              <w:jc w:val="center"/>
              <w:rPr>
                <w:rFonts w:hint="eastAsia" w:ascii="仿宋_GB2312" w:hAnsi="宋体" w:eastAsia="仿宋_GB2312" w:cs="宋体"/>
                <w:kern w:val="0"/>
                <w:sz w:val="18"/>
                <w:szCs w:val="18"/>
              </w:rPr>
            </w:pPr>
          </w:p>
        </w:tc>
        <w:tc>
          <w:tcPr>
            <w:tcW w:w="559"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6"/>
                <w:szCs w:val="16"/>
              </w:rPr>
              <w:t>任选1</w:t>
            </w: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四史教育</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76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375" w:type="dxa"/>
            <w:vAlign w:val="center"/>
          </w:tcPr>
          <w:p>
            <w:pPr>
              <w:adjustRightInd w:val="0"/>
              <w:snapToGrid w:val="0"/>
              <w:jc w:val="center"/>
              <w:rPr>
                <w:rFonts w:hint="eastAsia" w:ascii="仿宋_GB2312" w:hAnsi="宋体" w:eastAsia="仿宋_GB2312" w:cs="宋体"/>
                <w:kern w:val="0"/>
                <w:sz w:val="18"/>
                <w:szCs w:val="18"/>
              </w:rPr>
            </w:pPr>
          </w:p>
        </w:tc>
        <w:tc>
          <w:tcPr>
            <w:tcW w:w="559"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中华优秀传统文化</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375" w:type="dxa"/>
            <w:vAlign w:val="center"/>
          </w:tcPr>
          <w:p>
            <w:pPr>
              <w:adjustRightInd w:val="0"/>
              <w:snapToGrid w:val="0"/>
              <w:jc w:val="center"/>
              <w:rPr>
                <w:rFonts w:hint="eastAsia" w:ascii="仿宋_GB2312" w:hAnsi="宋体" w:eastAsia="仿宋_GB2312" w:cs="宋体"/>
                <w:kern w:val="0"/>
                <w:sz w:val="18"/>
                <w:szCs w:val="18"/>
              </w:rPr>
            </w:pPr>
          </w:p>
        </w:tc>
        <w:tc>
          <w:tcPr>
            <w:tcW w:w="559"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6"/>
                <w:szCs w:val="16"/>
              </w:rPr>
              <w:t>任选1</w:t>
            </w: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职业素养</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375" w:type="dxa"/>
            <w:vAlign w:val="center"/>
          </w:tcPr>
          <w:p>
            <w:pPr>
              <w:adjustRightInd w:val="0"/>
              <w:snapToGrid w:val="0"/>
              <w:jc w:val="center"/>
              <w:rPr>
                <w:rFonts w:hint="eastAsia" w:ascii="仿宋_GB2312" w:hAnsi="宋体" w:eastAsia="仿宋_GB2312" w:cs="宋体"/>
                <w:kern w:val="0"/>
                <w:sz w:val="18"/>
                <w:szCs w:val="18"/>
              </w:rPr>
            </w:pPr>
          </w:p>
        </w:tc>
        <w:tc>
          <w:tcPr>
            <w:tcW w:w="559"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创新创业教育</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375" w:type="dxa"/>
            <w:vAlign w:val="center"/>
          </w:tcPr>
          <w:p>
            <w:pPr>
              <w:adjustRightInd w:val="0"/>
              <w:snapToGrid w:val="0"/>
              <w:jc w:val="center"/>
              <w:rPr>
                <w:rFonts w:hint="eastAsia" w:ascii="仿宋_GB2312" w:hAnsi="宋体" w:eastAsia="仿宋_GB2312" w:cs="宋体"/>
                <w:kern w:val="0"/>
                <w:sz w:val="18"/>
                <w:szCs w:val="18"/>
              </w:rPr>
            </w:pPr>
          </w:p>
        </w:tc>
        <w:tc>
          <w:tcPr>
            <w:tcW w:w="559"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健康教育</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375" w:type="dxa"/>
            <w:vAlign w:val="center"/>
          </w:tcPr>
          <w:p>
            <w:pPr>
              <w:adjustRightInd w:val="0"/>
              <w:snapToGrid w:val="0"/>
              <w:jc w:val="center"/>
              <w:rPr>
                <w:rFonts w:hint="eastAsia" w:ascii="仿宋_GB2312" w:hAnsi="宋体" w:eastAsia="仿宋_GB2312" w:cs="宋体"/>
                <w:kern w:val="0"/>
                <w:sz w:val="18"/>
                <w:szCs w:val="18"/>
              </w:rPr>
            </w:pPr>
          </w:p>
        </w:tc>
        <w:tc>
          <w:tcPr>
            <w:tcW w:w="559"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环保教育</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375" w:type="dxa"/>
            <w:vAlign w:val="center"/>
          </w:tcPr>
          <w:p>
            <w:pPr>
              <w:adjustRightInd w:val="0"/>
              <w:snapToGrid w:val="0"/>
              <w:jc w:val="center"/>
              <w:rPr>
                <w:rFonts w:hint="eastAsia" w:ascii="仿宋_GB2312" w:hAnsi="宋体" w:eastAsia="仿宋_GB2312" w:cs="宋体"/>
                <w:kern w:val="0"/>
                <w:sz w:val="18"/>
                <w:szCs w:val="18"/>
              </w:rPr>
            </w:pPr>
          </w:p>
        </w:tc>
        <w:tc>
          <w:tcPr>
            <w:tcW w:w="559"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安全教育</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375" w:type="dxa"/>
            <w:vAlign w:val="center"/>
          </w:tcPr>
          <w:p>
            <w:pPr>
              <w:adjustRightInd w:val="0"/>
              <w:snapToGrid w:val="0"/>
              <w:rPr>
                <w:rFonts w:hint="eastAsia" w:ascii="仿宋_GB2312" w:hAnsi="宋体" w:eastAsia="仿宋_GB2312" w:cs="宋体"/>
                <w:kern w:val="0"/>
                <w:sz w:val="18"/>
                <w:szCs w:val="18"/>
              </w:rPr>
            </w:pPr>
          </w:p>
        </w:tc>
        <w:tc>
          <w:tcPr>
            <w:tcW w:w="559" w:type="dxa"/>
            <w:vAlign w:val="center"/>
          </w:tcPr>
          <w:p>
            <w:pPr>
              <w:adjustRightInd w:val="0"/>
              <w:snapToGrid w:val="0"/>
              <w:rPr>
                <w:rFonts w:hint="eastAsia" w:ascii="仿宋_GB2312" w:hAnsi="宋体" w:eastAsia="仿宋_GB2312" w:cs="宋体"/>
                <w:kern w:val="0"/>
                <w:sz w:val="18"/>
                <w:szCs w:val="18"/>
              </w:rPr>
            </w:pPr>
          </w:p>
        </w:tc>
        <w:tc>
          <w:tcPr>
            <w:tcW w:w="500" w:type="dxa"/>
            <w:vAlign w:val="center"/>
          </w:tcPr>
          <w:p>
            <w:pPr>
              <w:adjustRightInd w:val="0"/>
              <w:snapToGrid w:val="0"/>
              <w:rPr>
                <w:rFonts w:hint="eastAsia" w:ascii="仿宋_GB2312" w:hAnsi="宋体" w:eastAsia="仿宋_GB2312" w:cs="宋体"/>
                <w:kern w:val="0"/>
                <w:sz w:val="18"/>
                <w:szCs w:val="18"/>
              </w:rPr>
            </w:pPr>
          </w:p>
        </w:tc>
        <w:tc>
          <w:tcPr>
            <w:tcW w:w="500" w:type="dxa"/>
            <w:vAlign w:val="center"/>
          </w:tcPr>
          <w:p>
            <w:pPr>
              <w:adjustRightInd w:val="0"/>
              <w:snapToGrid w:val="0"/>
              <w:rPr>
                <w:rFonts w:hint="eastAsia" w:ascii="仿宋_GB2312" w:hAnsi="宋体" w:eastAsia="仿宋_GB2312" w:cs="宋体"/>
                <w:kern w:val="0"/>
                <w:sz w:val="18"/>
                <w:szCs w:val="18"/>
              </w:rPr>
            </w:pPr>
          </w:p>
        </w:tc>
        <w:tc>
          <w:tcPr>
            <w:tcW w:w="420" w:type="dxa"/>
            <w:vAlign w:val="center"/>
          </w:tcPr>
          <w:p>
            <w:pPr>
              <w:adjustRightInd w:val="0"/>
              <w:snapToGrid w:val="0"/>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2592" w:type="dxa"/>
            <w:gridSpan w:val="2"/>
            <w:vAlign w:val="center"/>
          </w:tcPr>
          <w:p>
            <w:pPr>
              <w:adjustRightInd w:val="0"/>
              <w:snapToGrid w:val="0"/>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小计（占总课时比例2.2%）</w:t>
            </w:r>
          </w:p>
        </w:tc>
        <w:tc>
          <w:tcPr>
            <w:tcW w:w="727"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76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663"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37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559"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500"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00"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420"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491"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restart"/>
            <w:textDirection w:val="tbRlV"/>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专业课程</w:t>
            </w:r>
          </w:p>
        </w:tc>
        <w:tc>
          <w:tcPr>
            <w:tcW w:w="464" w:type="dxa"/>
            <w:vMerge w:val="restart"/>
            <w:textDirection w:val="tbRlV"/>
            <w:vAlign w:val="center"/>
          </w:tcPr>
          <w:p>
            <w:pPr>
              <w:snapToGrid w:val="0"/>
              <w:ind w:firstLine="90" w:firstLineChars="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专业基础课程</w:t>
            </w: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电子商务基础</w:t>
            </w:r>
          </w:p>
        </w:tc>
        <w:tc>
          <w:tcPr>
            <w:tcW w:w="727" w:type="dxa"/>
            <w:vAlign w:val="center"/>
          </w:tcPr>
          <w:p>
            <w:pPr>
              <w:autoSpaceDE w:val="0"/>
              <w:autoSpaceDN w:val="0"/>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72</w:t>
            </w:r>
          </w:p>
        </w:tc>
        <w:tc>
          <w:tcPr>
            <w:tcW w:w="765" w:type="dxa"/>
            <w:vAlign w:val="center"/>
          </w:tcPr>
          <w:p>
            <w:pPr>
              <w:autoSpaceDE w:val="0"/>
              <w:autoSpaceDN w:val="0"/>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4</w:t>
            </w:r>
          </w:p>
        </w:tc>
        <w:tc>
          <w:tcPr>
            <w:tcW w:w="663" w:type="dxa"/>
            <w:vAlign w:val="center"/>
          </w:tcPr>
          <w:p>
            <w:pPr>
              <w:autoSpaceDE w:val="0"/>
              <w:autoSpaceDN w:val="0"/>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36</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4</w:t>
            </w: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widowControl/>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零售基础</w:t>
            </w:r>
          </w:p>
        </w:tc>
        <w:tc>
          <w:tcPr>
            <w:tcW w:w="727" w:type="dxa"/>
            <w:vAlign w:val="center"/>
          </w:tcPr>
          <w:p>
            <w:pPr>
              <w:autoSpaceDE w:val="0"/>
              <w:autoSpaceDN w:val="0"/>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54</w:t>
            </w:r>
          </w:p>
        </w:tc>
        <w:tc>
          <w:tcPr>
            <w:tcW w:w="765" w:type="dxa"/>
            <w:vAlign w:val="center"/>
          </w:tcPr>
          <w:p>
            <w:pPr>
              <w:autoSpaceDE w:val="0"/>
              <w:autoSpaceDN w:val="0"/>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3</w:t>
            </w:r>
          </w:p>
        </w:tc>
        <w:tc>
          <w:tcPr>
            <w:tcW w:w="663" w:type="dxa"/>
            <w:vAlign w:val="center"/>
          </w:tcPr>
          <w:p>
            <w:pPr>
              <w:autoSpaceDE w:val="0"/>
              <w:autoSpaceDN w:val="0"/>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27</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3</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widowControl/>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市场营销</w:t>
            </w:r>
          </w:p>
        </w:tc>
        <w:tc>
          <w:tcPr>
            <w:tcW w:w="727" w:type="dxa"/>
            <w:vAlign w:val="center"/>
          </w:tcPr>
          <w:p>
            <w:pPr>
              <w:autoSpaceDE w:val="0"/>
              <w:autoSpaceDN w:val="0"/>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w:t>
            </w:r>
            <w:r>
              <w:rPr>
                <w:rFonts w:ascii="仿宋_GB2312" w:hAnsi="仿宋_GB2312" w:eastAsia="仿宋_GB2312" w:cs="仿宋_GB2312"/>
                <w:kern w:val="0"/>
                <w:sz w:val="18"/>
                <w:szCs w:val="18"/>
              </w:rPr>
              <w:t>2</w:t>
            </w:r>
          </w:p>
        </w:tc>
        <w:tc>
          <w:tcPr>
            <w:tcW w:w="765" w:type="dxa"/>
            <w:vAlign w:val="center"/>
          </w:tcPr>
          <w:p>
            <w:pPr>
              <w:autoSpaceDE w:val="0"/>
              <w:autoSpaceDN w:val="0"/>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663" w:type="dxa"/>
            <w:vAlign w:val="center"/>
          </w:tcPr>
          <w:p>
            <w:pPr>
              <w:autoSpaceDE w:val="0"/>
              <w:autoSpaceDN w:val="0"/>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widowControl/>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商品拍摄与图片处理</w:t>
            </w:r>
          </w:p>
        </w:tc>
        <w:tc>
          <w:tcPr>
            <w:tcW w:w="727" w:type="dxa"/>
            <w:vAlign w:val="center"/>
          </w:tcPr>
          <w:p>
            <w:pPr>
              <w:autoSpaceDE w:val="0"/>
              <w:autoSpaceDN w:val="0"/>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72</w:t>
            </w:r>
          </w:p>
        </w:tc>
        <w:tc>
          <w:tcPr>
            <w:tcW w:w="765" w:type="dxa"/>
            <w:vAlign w:val="center"/>
          </w:tcPr>
          <w:p>
            <w:pPr>
              <w:autoSpaceDE w:val="0"/>
              <w:autoSpaceDN w:val="0"/>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4</w:t>
            </w:r>
          </w:p>
        </w:tc>
        <w:tc>
          <w:tcPr>
            <w:tcW w:w="663" w:type="dxa"/>
            <w:vAlign w:val="center"/>
          </w:tcPr>
          <w:p>
            <w:pPr>
              <w:autoSpaceDE w:val="0"/>
              <w:autoSpaceDN w:val="0"/>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36</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4</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2592" w:type="dxa"/>
            <w:gridSpan w:val="2"/>
            <w:vAlign w:val="center"/>
          </w:tcPr>
          <w:p>
            <w:pPr>
              <w:adjustRightInd w:val="0"/>
              <w:snapToGrid w:val="0"/>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小计（占总课时比例8.2%）</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270</w:t>
            </w:r>
          </w:p>
        </w:tc>
        <w:tc>
          <w:tcPr>
            <w:tcW w:w="765"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15</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135</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4</w:t>
            </w: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20"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491"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restart"/>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专业课程</w:t>
            </w:r>
          </w:p>
        </w:tc>
        <w:tc>
          <w:tcPr>
            <w:tcW w:w="464" w:type="dxa"/>
            <w:vMerge w:val="restart"/>
            <w:textDirection w:val="tbRlV"/>
            <w:vAlign w:val="center"/>
          </w:tcPr>
          <w:p>
            <w:pPr>
              <w:adjustRightInd w:val="0"/>
              <w:snapToGrid w:val="0"/>
              <w:ind w:left="113" w:right="113"/>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专业核心课程</w:t>
            </w: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网店运营</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36</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2</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18</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adjustRightInd w:val="0"/>
              <w:snapToGrid w:val="0"/>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continue"/>
            <w:textDirection w:val="tbRlV"/>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textDirection w:val="tbRlV"/>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客户服务</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36</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2</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18</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2</w:t>
            </w: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adjustRightInd w:val="0"/>
              <w:snapToGrid w:val="0"/>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短视频视觉设计与制作</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72</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网络推广</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72</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4</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36</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新媒体运营</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新媒体营销</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72</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直播销售</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72</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直播运营实务</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72</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2592" w:type="dxa"/>
            <w:gridSpan w:val="2"/>
            <w:vAlign w:val="center"/>
          </w:tcPr>
          <w:p>
            <w:pPr>
              <w:adjustRightInd w:val="0"/>
              <w:snapToGrid w:val="0"/>
              <w:ind w:left="-105" w:leftChars="-50"/>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小计（占总课时比例14.2%）</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468</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26</w:t>
            </w:r>
          </w:p>
        </w:tc>
        <w:tc>
          <w:tcPr>
            <w:tcW w:w="663" w:type="dxa"/>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234</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59" w:type="dxa"/>
            <w:vAlign w:val="center"/>
          </w:tcPr>
          <w:p>
            <w:pPr>
              <w:adjustRightInd w:val="0"/>
              <w:snapToGrid w:val="0"/>
              <w:ind w:right="18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00" w:type="dxa"/>
            <w:vAlign w:val="center"/>
          </w:tcPr>
          <w:p>
            <w:pPr>
              <w:adjustRightInd w:val="0"/>
              <w:snapToGrid w:val="0"/>
              <w:ind w:right="18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500" w:type="dxa"/>
            <w:vAlign w:val="center"/>
          </w:tcPr>
          <w:p>
            <w:pPr>
              <w:adjustRightInd w:val="0"/>
              <w:snapToGrid w:val="0"/>
              <w:ind w:right="18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14</w:t>
            </w:r>
          </w:p>
        </w:tc>
        <w:tc>
          <w:tcPr>
            <w:tcW w:w="420" w:type="dxa"/>
            <w:vAlign w:val="center"/>
          </w:tcPr>
          <w:p>
            <w:pPr>
              <w:adjustRightInd w:val="0"/>
              <w:snapToGrid w:val="0"/>
              <w:ind w:right="18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491" w:type="dxa"/>
            <w:vAlign w:val="center"/>
          </w:tcPr>
          <w:p>
            <w:pPr>
              <w:adjustRightInd w:val="0"/>
              <w:snapToGrid w:val="0"/>
              <w:ind w:right="18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restart"/>
            <w:tcBorders>
              <w:top w:val="single" w:color="auto" w:sz="4" w:space="0"/>
            </w:tcBorders>
            <w:textDirection w:val="tbRlV"/>
            <w:vAlign w:val="center"/>
          </w:tcPr>
          <w:p>
            <w:pPr>
              <w:adjustRightInd w:val="0"/>
              <w:snapToGrid w:val="0"/>
              <w:ind w:left="113" w:right="113"/>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专业拓展课程</w:t>
            </w: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197"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仿宋_GB2312" w:eastAsia="仿宋_GB2312" w:cs="仿宋_GB2312"/>
                <w:kern w:val="0"/>
                <w:sz w:val="18"/>
                <w:szCs w:val="18"/>
              </w:rPr>
              <w:t>商务沟通与礼仪</w:t>
            </w:r>
          </w:p>
        </w:tc>
        <w:tc>
          <w:tcPr>
            <w:tcW w:w="727" w:type="dxa"/>
            <w:vAlign w:val="center"/>
          </w:tcPr>
          <w:p>
            <w:pPr>
              <w:widowControl/>
              <w:spacing w:line="360" w:lineRule="auto"/>
              <w:jc w:val="center"/>
              <w:rPr>
                <w:rFonts w:hint="eastAsia" w:ascii="仿宋_GB2312" w:hAnsi="宋体" w:eastAsia="仿宋_GB2312" w:cs="宋体"/>
                <w:kern w:val="0"/>
                <w:sz w:val="18"/>
                <w:szCs w:val="18"/>
              </w:rPr>
            </w:pPr>
            <w:r>
              <w:rPr>
                <w:rFonts w:ascii="仿宋_GB2312" w:hAnsi="仿宋_GB2312" w:eastAsia="仿宋_GB2312" w:cs="仿宋_GB2312"/>
                <w:kern w:val="0"/>
                <w:sz w:val="18"/>
                <w:szCs w:val="18"/>
              </w:rPr>
              <w:t>72</w:t>
            </w:r>
          </w:p>
        </w:tc>
        <w:tc>
          <w:tcPr>
            <w:tcW w:w="765" w:type="dxa"/>
          </w:tcPr>
          <w:p>
            <w:pPr>
              <w:widowControl/>
              <w:spacing w:line="360" w:lineRule="auto"/>
              <w:jc w:val="center"/>
              <w:rPr>
                <w:rFonts w:hint="eastAsia" w:ascii="仿宋_GB2312" w:hAnsi="宋体" w:eastAsia="仿宋_GB2312" w:cs="宋体"/>
                <w:kern w:val="0"/>
                <w:sz w:val="18"/>
                <w:szCs w:val="18"/>
              </w:rPr>
            </w:pPr>
            <w:r>
              <w:rPr>
                <w:rFonts w:ascii="仿宋_GB2312" w:hAnsi="仿宋_GB2312" w:eastAsia="仿宋_GB2312" w:cs="仿宋_GB2312"/>
                <w:kern w:val="0"/>
                <w:sz w:val="18"/>
                <w:szCs w:val="18"/>
              </w:rPr>
              <w:t>4</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375" w:type="dxa"/>
            <w:vAlign w:val="center"/>
          </w:tcPr>
          <w:p>
            <w:pPr>
              <w:adjustRightInd w:val="0"/>
              <w:snapToGrid w:val="0"/>
              <w:ind w:right="18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59" w:type="dxa"/>
            <w:vAlign w:val="center"/>
          </w:tcPr>
          <w:p>
            <w:pPr>
              <w:adjustRightInd w:val="0"/>
              <w:snapToGrid w:val="0"/>
              <w:ind w:right="18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00" w:type="dxa"/>
            <w:vAlign w:val="center"/>
          </w:tcPr>
          <w:p>
            <w:pPr>
              <w:adjustRightInd w:val="0"/>
              <w:snapToGrid w:val="0"/>
              <w:ind w:right="180"/>
              <w:rPr>
                <w:rFonts w:hint="eastAsia" w:ascii="仿宋_GB2312" w:hAnsi="宋体" w:eastAsia="仿宋_GB2312" w:cs="宋体"/>
                <w:kern w:val="0"/>
                <w:sz w:val="18"/>
                <w:szCs w:val="18"/>
              </w:rPr>
            </w:pPr>
          </w:p>
        </w:tc>
        <w:tc>
          <w:tcPr>
            <w:tcW w:w="500" w:type="dxa"/>
            <w:vAlign w:val="center"/>
          </w:tcPr>
          <w:p>
            <w:pPr>
              <w:adjustRightInd w:val="0"/>
              <w:snapToGrid w:val="0"/>
              <w:ind w:right="180"/>
              <w:rPr>
                <w:rFonts w:hint="eastAsia" w:ascii="仿宋_GB2312" w:hAnsi="宋体" w:eastAsia="仿宋_GB2312" w:cs="宋体"/>
                <w:kern w:val="0"/>
                <w:sz w:val="18"/>
                <w:szCs w:val="18"/>
              </w:rPr>
            </w:pPr>
          </w:p>
        </w:tc>
        <w:tc>
          <w:tcPr>
            <w:tcW w:w="420" w:type="dxa"/>
            <w:vAlign w:val="center"/>
          </w:tcPr>
          <w:p>
            <w:pPr>
              <w:adjustRightInd w:val="0"/>
              <w:snapToGrid w:val="0"/>
              <w:ind w:right="180"/>
              <w:rPr>
                <w:rFonts w:hint="eastAsia" w:ascii="仿宋_GB2312" w:hAnsi="宋体" w:eastAsia="仿宋_GB2312" w:cs="宋体"/>
                <w:kern w:val="0"/>
                <w:sz w:val="18"/>
                <w:szCs w:val="18"/>
              </w:rPr>
            </w:pPr>
          </w:p>
        </w:tc>
        <w:tc>
          <w:tcPr>
            <w:tcW w:w="491" w:type="dxa"/>
            <w:vAlign w:val="center"/>
          </w:tcPr>
          <w:p>
            <w:pPr>
              <w:adjustRightInd w:val="0"/>
              <w:snapToGrid w:val="0"/>
              <w:ind w:right="18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197" w:type="dxa"/>
            <w:vAlign w:val="center"/>
          </w:tcPr>
          <w:p>
            <w:pPr>
              <w:pStyle w:val="5"/>
              <w:ind w:firstLine="0" w:firstLineChars="0"/>
              <w:jc w:val="center"/>
              <w:rPr>
                <w:rFonts w:ascii="仿宋_GB2312"/>
              </w:rPr>
            </w:pPr>
            <w:r>
              <w:rPr>
                <w:rFonts w:hint="eastAsia" w:ascii="仿宋_GB2312" w:hAnsi="仿宋_GB2312" w:cs="仿宋_GB2312"/>
                <w:kern w:val="0"/>
                <w:sz w:val="18"/>
                <w:szCs w:val="18"/>
              </w:rPr>
              <w:t>电子商务法律法规</w:t>
            </w:r>
          </w:p>
        </w:tc>
        <w:tc>
          <w:tcPr>
            <w:tcW w:w="727" w:type="dxa"/>
            <w:vAlign w:val="center"/>
          </w:tcPr>
          <w:p>
            <w:pPr>
              <w:widowControl/>
              <w:spacing w:line="360" w:lineRule="auto"/>
              <w:jc w:val="center"/>
              <w:rPr>
                <w:rFonts w:hint="eastAsia" w:ascii="仿宋_GB2312" w:hAnsi="宋体" w:eastAsia="仿宋_GB2312" w:cs="宋体"/>
                <w:kern w:val="0"/>
                <w:sz w:val="18"/>
                <w:szCs w:val="18"/>
              </w:rPr>
            </w:pPr>
            <w:r>
              <w:rPr>
                <w:rFonts w:ascii="仿宋_GB2312" w:hAnsi="仿宋_GB2312" w:eastAsia="仿宋_GB2312" w:cs="仿宋_GB2312"/>
                <w:kern w:val="0"/>
                <w:sz w:val="18"/>
                <w:szCs w:val="18"/>
              </w:rPr>
              <w:t>72</w:t>
            </w:r>
          </w:p>
        </w:tc>
        <w:tc>
          <w:tcPr>
            <w:tcW w:w="765" w:type="dxa"/>
          </w:tcPr>
          <w:p>
            <w:pPr>
              <w:widowControl/>
              <w:spacing w:line="360" w:lineRule="auto"/>
              <w:jc w:val="center"/>
              <w:rPr>
                <w:rFonts w:hint="eastAsia" w:ascii="仿宋_GB2312" w:hAnsi="宋体" w:eastAsia="仿宋_GB2312" w:cs="宋体"/>
                <w:kern w:val="0"/>
                <w:sz w:val="18"/>
                <w:szCs w:val="18"/>
              </w:rPr>
            </w:pPr>
            <w:r>
              <w:rPr>
                <w:rFonts w:ascii="仿宋_GB2312" w:hAnsi="仿宋_GB2312" w:eastAsia="仿宋_GB2312" w:cs="仿宋_GB2312"/>
                <w:kern w:val="0"/>
                <w:sz w:val="18"/>
                <w:szCs w:val="18"/>
              </w:rPr>
              <w:t>4</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375" w:type="dxa"/>
            <w:vAlign w:val="center"/>
          </w:tcPr>
          <w:p>
            <w:pPr>
              <w:adjustRightInd w:val="0"/>
              <w:snapToGrid w:val="0"/>
              <w:ind w:right="180"/>
              <w:jc w:val="center"/>
              <w:rPr>
                <w:rFonts w:hint="eastAsia" w:ascii="仿宋_GB2312" w:hAnsi="宋体" w:eastAsia="仿宋_GB2312" w:cs="宋体"/>
                <w:kern w:val="0"/>
                <w:sz w:val="18"/>
                <w:szCs w:val="18"/>
              </w:rPr>
            </w:pPr>
          </w:p>
        </w:tc>
        <w:tc>
          <w:tcPr>
            <w:tcW w:w="559" w:type="dxa"/>
            <w:vAlign w:val="center"/>
          </w:tcPr>
          <w:p>
            <w:pPr>
              <w:adjustRightInd w:val="0"/>
              <w:snapToGrid w:val="0"/>
              <w:ind w:right="180"/>
              <w:jc w:val="center"/>
              <w:rPr>
                <w:rFonts w:hint="eastAsia" w:ascii="仿宋_GB2312" w:hAnsi="宋体" w:eastAsia="仿宋_GB2312" w:cs="宋体"/>
                <w:kern w:val="0"/>
                <w:sz w:val="18"/>
                <w:szCs w:val="18"/>
              </w:rPr>
            </w:pPr>
          </w:p>
        </w:tc>
        <w:tc>
          <w:tcPr>
            <w:tcW w:w="500" w:type="dxa"/>
            <w:vAlign w:val="center"/>
          </w:tcPr>
          <w:p>
            <w:pPr>
              <w:adjustRightInd w:val="0"/>
              <w:snapToGrid w:val="0"/>
              <w:ind w:right="18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00" w:type="dxa"/>
            <w:vAlign w:val="center"/>
          </w:tcPr>
          <w:p>
            <w:pPr>
              <w:adjustRightInd w:val="0"/>
              <w:snapToGrid w:val="0"/>
              <w:ind w:right="180"/>
              <w:jc w:val="center"/>
              <w:rPr>
                <w:rFonts w:hint="eastAsia" w:ascii="仿宋_GB2312" w:hAnsi="宋体" w:eastAsia="仿宋_GB2312" w:cs="宋体"/>
                <w:kern w:val="0"/>
                <w:sz w:val="18"/>
                <w:szCs w:val="18"/>
              </w:rPr>
            </w:pPr>
          </w:p>
        </w:tc>
        <w:tc>
          <w:tcPr>
            <w:tcW w:w="420" w:type="dxa"/>
            <w:vAlign w:val="center"/>
          </w:tcPr>
          <w:p>
            <w:pPr>
              <w:adjustRightInd w:val="0"/>
              <w:snapToGrid w:val="0"/>
              <w:ind w:right="180"/>
              <w:jc w:val="center"/>
              <w:rPr>
                <w:rFonts w:hint="eastAsia" w:ascii="仿宋_GB2312" w:hAnsi="宋体" w:eastAsia="仿宋_GB2312" w:cs="宋体"/>
                <w:kern w:val="0"/>
                <w:sz w:val="18"/>
                <w:szCs w:val="18"/>
              </w:rPr>
            </w:pPr>
          </w:p>
        </w:tc>
        <w:tc>
          <w:tcPr>
            <w:tcW w:w="491" w:type="dxa"/>
            <w:vAlign w:val="center"/>
          </w:tcPr>
          <w:p>
            <w:pPr>
              <w:adjustRightInd w:val="0"/>
              <w:snapToGrid w:val="0"/>
              <w:ind w:right="18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19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商务软文写作</w:t>
            </w:r>
          </w:p>
        </w:tc>
        <w:tc>
          <w:tcPr>
            <w:tcW w:w="727" w:type="dxa"/>
            <w:vAlign w:val="center"/>
          </w:tcPr>
          <w:p>
            <w:pPr>
              <w:widowControl/>
              <w:spacing w:line="360" w:lineRule="auto"/>
              <w:jc w:val="center"/>
              <w:rPr>
                <w:rFonts w:hint="eastAsia" w:ascii="仿宋_GB2312" w:hAnsi="宋体" w:eastAsia="仿宋_GB2312" w:cs="宋体"/>
                <w:kern w:val="0"/>
                <w:sz w:val="18"/>
                <w:szCs w:val="18"/>
              </w:rPr>
            </w:pPr>
            <w:r>
              <w:rPr>
                <w:rFonts w:ascii="仿宋_GB2312" w:hAnsi="仿宋_GB2312" w:eastAsia="仿宋_GB2312" w:cs="仿宋_GB2312"/>
                <w:kern w:val="0"/>
                <w:sz w:val="18"/>
                <w:szCs w:val="18"/>
              </w:rPr>
              <w:t>72</w:t>
            </w:r>
          </w:p>
        </w:tc>
        <w:tc>
          <w:tcPr>
            <w:tcW w:w="765" w:type="dxa"/>
          </w:tcPr>
          <w:p>
            <w:pPr>
              <w:widowControl/>
              <w:spacing w:line="360" w:lineRule="auto"/>
              <w:jc w:val="center"/>
              <w:rPr>
                <w:rFonts w:hint="eastAsia" w:ascii="仿宋_GB2312" w:hAnsi="宋体" w:eastAsia="仿宋_GB2312" w:cs="宋体"/>
                <w:kern w:val="0"/>
                <w:sz w:val="18"/>
                <w:szCs w:val="18"/>
              </w:rPr>
            </w:pPr>
            <w:r>
              <w:rPr>
                <w:rFonts w:ascii="仿宋_GB2312" w:hAnsi="仿宋_GB2312" w:eastAsia="仿宋_GB2312" w:cs="仿宋_GB2312"/>
                <w:kern w:val="0"/>
                <w:sz w:val="18"/>
                <w:szCs w:val="18"/>
              </w:rPr>
              <w:t>4</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375" w:type="dxa"/>
            <w:vAlign w:val="center"/>
          </w:tcPr>
          <w:p>
            <w:pPr>
              <w:adjustRightInd w:val="0"/>
              <w:snapToGrid w:val="0"/>
              <w:ind w:right="180"/>
              <w:jc w:val="center"/>
              <w:rPr>
                <w:rFonts w:hint="eastAsia" w:ascii="仿宋_GB2312" w:hAnsi="宋体" w:eastAsia="仿宋_GB2312" w:cs="宋体"/>
                <w:kern w:val="0"/>
                <w:sz w:val="18"/>
                <w:szCs w:val="18"/>
              </w:rPr>
            </w:pPr>
          </w:p>
        </w:tc>
        <w:tc>
          <w:tcPr>
            <w:tcW w:w="559" w:type="dxa"/>
            <w:vAlign w:val="center"/>
          </w:tcPr>
          <w:p>
            <w:pPr>
              <w:adjustRightInd w:val="0"/>
              <w:snapToGrid w:val="0"/>
              <w:ind w:right="180"/>
              <w:jc w:val="center"/>
              <w:rPr>
                <w:rFonts w:hint="eastAsia" w:ascii="仿宋_GB2312" w:hAnsi="宋体" w:eastAsia="仿宋_GB2312" w:cs="宋体"/>
                <w:kern w:val="0"/>
                <w:sz w:val="18"/>
                <w:szCs w:val="18"/>
              </w:rPr>
            </w:pPr>
          </w:p>
        </w:tc>
        <w:tc>
          <w:tcPr>
            <w:tcW w:w="500" w:type="dxa"/>
            <w:vAlign w:val="center"/>
          </w:tcPr>
          <w:p>
            <w:pPr>
              <w:adjustRightInd w:val="0"/>
              <w:snapToGrid w:val="0"/>
              <w:ind w:right="18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00" w:type="dxa"/>
            <w:vAlign w:val="center"/>
          </w:tcPr>
          <w:p>
            <w:pPr>
              <w:adjustRightInd w:val="0"/>
              <w:snapToGrid w:val="0"/>
              <w:ind w:right="18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420" w:type="dxa"/>
            <w:vAlign w:val="center"/>
          </w:tcPr>
          <w:p>
            <w:pPr>
              <w:adjustRightInd w:val="0"/>
              <w:snapToGrid w:val="0"/>
              <w:ind w:right="180"/>
              <w:jc w:val="center"/>
              <w:rPr>
                <w:rFonts w:hint="eastAsia" w:ascii="仿宋_GB2312" w:hAnsi="宋体" w:eastAsia="仿宋_GB2312" w:cs="宋体"/>
                <w:kern w:val="0"/>
                <w:sz w:val="18"/>
                <w:szCs w:val="18"/>
              </w:rPr>
            </w:pPr>
          </w:p>
        </w:tc>
        <w:tc>
          <w:tcPr>
            <w:tcW w:w="491" w:type="dxa"/>
            <w:vAlign w:val="center"/>
          </w:tcPr>
          <w:p>
            <w:pPr>
              <w:adjustRightInd w:val="0"/>
              <w:snapToGrid w:val="0"/>
              <w:ind w:right="18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55"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197" w:type="dxa"/>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电子商务数据分析</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（初级）</w:t>
            </w:r>
          </w:p>
        </w:tc>
        <w:tc>
          <w:tcPr>
            <w:tcW w:w="727" w:type="dxa"/>
            <w:vAlign w:val="center"/>
          </w:tcPr>
          <w:p>
            <w:pPr>
              <w:widowControl/>
              <w:spacing w:line="360" w:lineRule="auto"/>
              <w:jc w:val="center"/>
              <w:rPr>
                <w:rFonts w:hint="eastAsia" w:ascii="仿宋_GB2312" w:hAnsi="宋体" w:eastAsia="仿宋_GB2312" w:cs="宋体"/>
                <w:kern w:val="0"/>
                <w:sz w:val="18"/>
                <w:szCs w:val="18"/>
              </w:rPr>
            </w:pPr>
            <w:r>
              <w:rPr>
                <w:rFonts w:ascii="仿宋_GB2312" w:hAnsi="仿宋_GB2312" w:eastAsia="仿宋_GB2312" w:cs="仿宋_GB2312"/>
                <w:kern w:val="0"/>
                <w:sz w:val="18"/>
                <w:szCs w:val="18"/>
              </w:rPr>
              <w:t>72</w:t>
            </w:r>
          </w:p>
        </w:tc>
        <w:tc>
          <w:tcPr>
            <w:tcW w:w="765" w:type="dxa"/>
            <w:vAlign w:val="center"/>
          </w:tcPr>
          <w:p>
            <w:pPr>
              <w:widowControl/>
              <w:spacing w:line="360" w:lineRule="auto"/>
              <w:jc w:val="center"/>
              <w:rPr>
                <w:rFonts w:hint="eastAsia" w:ascii="仿宋_GB2312" w:hAnsi="宋体" w:eastAsia="仿宋_GB2312" w:cs="宋体"/>
                <w:kern w:val="0"/>
                <w:sz w:val="18"/>
                <w:szCs w:val="18"/>
              </w:rPr>
            </w:pPr>
            <w:r>
              <w:rPr>
                <w:rFonts w:ascii="仿宋_GB2312" w:hAnsi="仿宋_GB2312" w:eastAsia="仿宋_GB2312" w:cs="仿宋_GB2312"/>
                <w:kern w:val="0"/>
                <w:sz w:val="18"/>
                <w:szCs w:val="18"/>
              </w:rPr>
              <w:t>4</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375" w:type="dxa"/>
            <w:vAlign w:val="center"/>
          </w:tcPr>
          <w:p>
            <w:pPr>
              <w:adjustRightInd w:val="0"/>
              <w:snapToGrid w:val="0"/>
              <w:ind w:right="180"/>
              <w:jc w:val="center"/>
              <w:rPr>
                <w:rFonts w:hint="eastAsia" w:ascii="仿宋_GB2312" w:hAnsi="宋体" w:eastAsia="仿宋_GB2312" w:cs="宋体"/>
                <w:kern w:val="0"/>
                <w:sz w:val="18"/>
                <w:szCs w:val="18"/>
              </w:rPr>
            </w:pPr>
          </w:p>
        </w:tc>
        <w:tc>
          <w:tcPr>
            <w:tcW w:w="559" w:type="dxa"/>
            <w:vAlign w:val="center"/>
          </w:tcPr>
          <w:p>
            <w:pPr>
              <w:adjustRightInd w:val="0"/>
              <w:snapToGrid w:val="0"/>
              <w:ind w:right="180"/>
              <w:jc w:val="center"/>
              <w:rPr>
                <w:rFonts w:hint="eastAsia" w:ascii="仿宋_GB2312" w:hAnsi="宋体" w:eastAsia="仿宋_GB2312" w:cs="宋体"/>
                <w:kern w:val="0"/>
                <w:sz w:val="18"/>
                <w:szCs w:val="18"/>
              </w:rPr>
            </w:pPr>
          </w:p>
        </w:tc>
        <w:tc>
          <w:tcPr>
            <w:tcW w:w="500" w:type="dxa"/>
            <w:vAlign w:val="center"/>
          </w:tcPr>
          <w:p>
            <w:pPr>
              <w:adjustRightInd w:val="0"/>
              <w:snapToGrid w:val="0"/>
              <w:ind w:right="180"/>
              <w:jc w:val="center"/>
              <w:rPr>
                <w:rFonts w:hint="eastAsia" w:ascii="仿宋_GB2312" w:hAnsi="宋体" w:eastAsia="仿宋_GB2312" w:cs="宋体"/>
                <w:kern w:val="0"/>
                <w:sz w:val="18"/>
                <w:szCs w:val="18"/>
              </w:rPr>
            </w:pPr>
          </w:p>
        </w:tc>
        <w:tc>
          <w:tcPr>
            <w:tcW w:w="500" w:type="dxa"/>
            <w:vAlign w:val="center"/>
          </w:tcPr>
          <w:p>
            <w:pPr>
              <w:adjustRightInd w:val="0"/>
              <w:snapToGrid w:val="0"/>
              <w:ind w:right="18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420" w:type="dxa"/>
            <w:vAlign w:val="center"/>
          </w:tcPr>
          <w:p>
            <w:pPr>
              <w:adjustRightInd w:val="0"/>
              <w:snapToGrid w:val="0"/>
              <w:ind w:right="180"/>
              <w:jc w:val="center"/>
              <w:rPr>
                <w:rFonts w:hint="eastAsia" w:ascii="仿宋_GB2312" w:hAnsi="宋体" w:eastAsia="仿宋_GB2312" w:cs="宋体"/>
                <w:kern w:val="0"/>
                <w:sz w:val="18"/>
                <w:szCs w:val="18"/>
              </w:rPr>
            </w:pPr>
          </w:p>
        </w:tc>
        <w:tc>
          <w:tcPr>
            <w:tcW w:w="491" w:type="dxa"/>
            <w:vAlign w:val="center"/>
          </w:tcPr>
          <w:p>
            <w:pPr>
              <w:adjustRightInd w:val="0"/>
              <w:snapToGrid w:val="0"/>
              <w:ind w:right="180"/>
              <w:jc w:val="center"/>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461"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464" w:type="dxa"/>
            <w:vMerge w:val="continue"/>
            <w:vAlign w:val="center"/>
          </w:tcPr>
          <w:p>
            <w:pPr>
              <w:adjustRightInd w:val="0"/>
              <w:snapToGrid w:val="0"/>
              <w:jc w:val="center"/>
              <w:rPr>
                <w:rFonts w:hint="eastAsia" w:ascii="仿宋_GB2312" w:hAnsi="宋体" w:eastAsia="仿宋_GB2312" w:cs="宋体"/>
                <w:kern w:val="0"/>
                <w:sz w:val="18"/>
                <w:szCs w:val="18"/>
              </w:rPr>
            </w:pPr>
          </w:p>
        </w:tc>
        <w:tc>
          <w:tcPr>
            <w:tcW w:w="2592" w:type="dxa"/>
            <w:gridSpan w:val="2"/>
            <w:vAlign w:val="center"/>
          </w:tcPr>
          <w:p>
            <w:pPr>
              <w:adjustRightInd w:val="0"/>
              <w:snapToGrid w:val="0"/>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小计（占总课时比例8.7%）</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288</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16</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144</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6</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6</w:t>
            </w:r>
          </w:p>
        </w:tc>
        <w:tc>
          <w:tcPr>
            <w:tcW w:w="420" w:type="dxa"/>
            <w:vAlign w:val="center"/>
          </w:tcPr>
          <w:p>
            <w:pPr>
              <w:adjustRightInd w:val="0"/>
              <w:snapToGrid w:val="0"/>
              <w:ind w:right="180"/>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491" w:type="dxa"/>
            <w:vAlign w:val="center"/>
          </w:tcPr>
          <w:p>
            <w:pPr>
              <w:adjustRightInd w:val="0"/>
              <w:snapToGrid w:val="0"/>
              <w:ind w:right="180"/>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25" w:type="dxa"/>
            <w:gridSpan w:val="2"/>
            <w:vMerge w:val="restart"/>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岗位</w:t>
            </w:r>
          </w:p>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实习</w:t>
            </w:r>
          </w:p>
        </w:tc>
        <w:tc>
          <w:tcPr>
            <w:tcW w:w="2592" w:type="dxa"/>
            <w:gridSpan w:val="2"/>
            <w:vAlign w:val="center"/>
          </w:tcPr>
          <w:p>
            <w:pPr>
              <w:widowControl/>
              <w:spacing w:line="360" w:lineRule="auto"/>
              <w:jc w:val="center"/>
              <w:rPr>
                <w:rFonts w:hint="eastAsia" w:ascii="仿宋_GB2312" w:hAnsi="宋体" w:eastAsia="仿宋_GB2312" w:cs="宋体"/>
                <w:kern w:val="0"/>
                <w:sz w:val="18"/>
                <w:szCs w:val="18"/>
              </w:rPr>
            </w:pPr>
            <w:r>
              <w:rPr>
                <w:rFonts w:hint="eastAsia" w:ascii="仿宋_GB2312" w:hAnsi="仿宋_GB2312" w:eastAsia="仿宋_GB2312" w:cs="仿宋_GB2312"/>
                <w:kern w:val="0"/>
                <w:sz w:val="18"/>
                <w:szCs w:val="18"/>
              </w:rPr>
              <w:t>在线客服综合实训</w:t>
            </w:r>
          </w:p>
        </w:tc>
        <w:tc>
          <w:tcPr>
            <w:tcW w:w="727" w:type="dxa"/>
            <w:vAlign w:val="center"/>
          </w:tcPr>
          <w:p>
            <w:pPr>
              <w:widowControl/>
              <w:spacing w:line="360" w:lineRule="auto"/>
              <w:jc w:val="center"/>
              <w:rPr>
                <w:rFonts w:hint="eastAsia" w:ascii="仿宋_GB2312" w:hAnsi="宋体" w:eastAsia="仿宋_GB2312" w:cs="宋体"/>
                <w:kern w:val="0"/>
                <w:sz w:val="18"/>
                <w:szCs w:val="18"/>
              </w:rPr>
            </w:pPr>
            <w:r>
              <w:rPr>
                <w:rFonts w:ascii="仿宋_GB2312" w:hAnsi="仿宋_GB2312" w:eastAsia="仿宋_GB2312" w:cs="仿宋_GB2312"/>
                <w:kern w:val="0"/>
                <w:sz w:val="18"/>
                <w:szCs w:val="18"/>
              </w:rPr>
              <w:t>4</w:t>
            </w:r>
            <w:r>
              <w:rPr>
                <w:rFonts w:hint="eastAsia" w:ascii="仿宋_GB2312" w:hAnsi="仿宋_GB2312" w:eastAsia="仿宋_GB2312" w:cs="仿宋_GB2312"/>
                <w:kern w:val="0"/>
                <w:sz w:val="18"/>
                <w:szCs w:val="18"/>
              </w:rPr>
              <w:t>周</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4</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120</w:t>
            </w:r>
          </w:p>
        </w:tc>
        <w:tc>
          <w:tcPr>
            <w:tcW w:w="375" w:type="dxa"/>
            <w:vAlign w:val="center"/>
          </w:tcPr>
          <w:p>
            <w:pPr>
              <w:adjustRightInd w:val="0"/>
              <w:snapToGrid w:val="0"/>
              <w:jc w:val="center"/>
              <w:rPr>
                <w:rFonts w:hint="eastAsia" w:ascii="仿宋_GB2312" w:hAnsi="宋体" w:eastAsia="仿宋_GB2312" w:cs="宋体"/>
                <w:kern w:val="0"/>
                <w:sz w:val="18"/>
                <w:szCs w:val="18"/>
              </w:rPr>
            </w:pPr>
          </w:p>
        </w:tc>
        <w:tc>
          <w:tcPr>
            <w:tcW w:w="559"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rPr>
                <w:rFonts w:hint="eastAsia" w:ascii="仿宋_GB2312" w:hAnsi="宋体" w:eastAsia="仿宋_GB2312" w:cs="宋体"/>
                <w:kern w:val="0"/>
                <w:sz w:val="18"/>
                <w:szCs w:val="18"/>
              </w:rPr>
            </w:pP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4</w:t>
            </w:r>
            <w:r>
              <w:rPr>
                <w:rFonts w:hint="eastAsia" w:ascii="仿宋_GB2312" w:hAnsi="仿宋_GB2312" w:eastAsia="仿宋_GB2312" w:cs="仿宋_GB2312"/>
                <w:kern w:val="0"/>
                <w:sz w:val="18"/>
                <w:szCs w:val="18"/>
              </w:rPr>
              <w:t>周</w:t>
            </w: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25" w:type="dxa"/>
            <w:gridSpan w:val="2"/>
            <w:vMerge w:val="continue"/>
            <w:vAlign w:val="center"/>
          </w:tcPr>
          <w:p>
            <w:pPr>
              <w:adjustRightInd w:val="0"/>
              <w:snapToGrid w:val="0"/>
              <w:jc w:val="center"/>
              <w:rPr>
                <w:rFonts w:hint="eastAsia" w:ascii="仿宋_GB2312" w:hAnsi="宋体" w:eastAsia="仿宋_GB2312" w:cs="宋体"/>
                <w:kern w:val="0"/>
                <w:sz w:val="18"/>
                <w:szCs w:val="18"/>
              </w:rPr>
            </w:pPr>
          </w:p>
        </w:tc>
        <w:tc>
          <w:tcPr>
            <w:tcW w:w="2592" w:type="dxa"/>
            <w:gridSpan w:val="2"/>
            <w:vAlign w:val="center"/>
          </w:tcPr>
          <w:p>
            <w:pPr>
              <w:widowControl/>
              <w:spacing w:line="360" w:lineRule="auto"/>
              <w:jc w:val="center"/>
              <w:rPr>
                <w:rFonts w:hint="eastAsia" w:ascii="仿宋_GB2312" w:hAnsi="宋体" w:eastAsia="仿宋_GB2312" w:cs="宋体"/>
                <w:kern w:val="0"/>
                <w:sz w:val="18"/>
                <w:szCs w:val="18"/>
              </w:rPr>
            </w:pPr>
            <w:r>
              <w:rPr>
                <w:rFonts w:hint="eastAsia" w:ascii="仿宋_GB2312" w:hAnsi="仿宋_GB2312" w:eastAsia="仿宋_GB2312" w:cs="仿宋_GB2312"/>
                <w:kern w:val="0"/>
                <w:sz w:val="18"/>
                <w:szCs w:val="18"/>
              </w:rPr>
              <w:t>网上开店综合实训</w:t>
            </w:r>
          </w:p>
        </w:tc>
        <w:tc>
          <w:tcPr>
            <w:tcW w:w="727" w:type="dxa"/>
            <w:vAlign w:val="center"/>
          </w:tcPr>
          <w:p>
            <w:pPr>
              <w:widowControl/>
              <w:spacing w:line="360" w:lineRule="auto"/>
              <w:jc w:val="center"/>
              <w:rPr>
                <w:rFonts w:hint="eastAsia" w:ascii="仿宋_GB2312" w:hAnsi="宋体" w:eastAsia="仿宋_GB2312" w:cs="宋体"/>
                <w:kern w:val="0"/>
                <w:sz w:val="18"/>
                <w:szCs w:val="18"/>
              </w:rPr>
            </w:pPr>
            <w:r>
              <w:rPr>
                <w:rFonts w:ascii="仿宋_GB2312" w:hAnsi="仿宋_GB2312" w:eastAsia="仿宋_GB2312" w:cs="仿宋_GB2312"/>
                <w:kern w:val="0"/>
                <w:sz w:val="18"/>
                <w:szCs w:val="18"/>
              </w:rPr>
              <w:t>4</w:t>
            </w:r>
            <w:r>
              <w:rPr>
                <w:rFonts w:hint="eastAsia" w:ascii="仿宋_GB2312" w:hAnsi="仿宋_GB2312" w:eastAsia="仿宋_GB2312" w:cs="仿宋_GB2312"/>
                <w:kern w:val="0"/>
                <w:sz w:val="18"/>
                <w:szCs w:val="18"/>
              </w:rPr>
              <w:t>周</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4</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120</w:t>
            </w:r>
          </w:p>
        </w:tc>
        <w:tc>
          <w:tcPr>
            <w:tcW w:w="375" w:type="dxa"/>
            <w:vAlign w:val="center"/>
          </w:tcPr>
          <w:p>
            <w:pPr>
              <w:adjustRightInd w:val="0"/>
              <w:snapToGrid w:val="0"/>
              <w:jc w:val="center"/>
              <w:rPr>
                <w:rFonts w:hint="eastAsia" w:ascii="仿宋_GB2312" w:hAnsi="宋体" w:eastAsia="仿宋_GB2312" w:cs="宋体"/>
                <w:kern w:val="0"/>
                <w:sz w:val="18"/>
                <w:szCs w:val="18"/>
              </w:rPr>
            </w:pPr>
          </w:p>
        </w:tc>
        <w:tc>
          <w:tcPr>
            <w:tcW w:w="559"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rPr>
                <w:rFonts w:hint="eastAsia" w:ascii="仿宋_GB2312" w:hAnsi="宋体" w:eastAsia="仿宋_GB2312" w:cs="宋体"/>
                <w:kern w:val="0"/>
                <w:sz w:val="18"/>
                <w:szCs w:val="18"/>
              </w:rPr>
            </w:pP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4</w:t>
            </w:r>
            <w:r>
              <w:rPr>
                <w:rFonts w:hint="eastAsia" w:ascii="仿宋_GB2312" w:hAnsi="仿宋_GB2312" w:eastAsia="仿宋_GB2312" w:cs="仿宋_GB2312"/>
                <w:kern w:val="0"/>
                <w:sz w:val="18"/>
                <w:szCs w:val="18"/>
              </w:rPr>
              <w:t>周</w:t>
            </w: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25" w:type="dxa"/>
            <w:gridSpan w:val="2"/>
            <w:vMerge w:val="continue"/>
            <w:vAlign w:val="center"/>
          </w:tcPr>
          <w:p>
            <w:pPr>
              <w:adjustRightInd w:val="0"/>
              <w:snapToGrid w:val="0"/>
              <w:jc w:val="center"/>
              <w:rPr>
                <w:rFonts w:hint="eastAsia" w:ascii="仿宋_GB2312" w:hAnsi="宋体" w:eastAsia="仿宋_GB2312" w:cs="宋体"/>
                <w:kern w:val="0"/>
                <w:sz w:val="18"/>
                <w:szCs w:val="18"/>
              </w:rPr>
            </w:pPr>
          </w:p>
        </w:tc>
        <w:tc>
          <w:tcPr>
            <w:tcW w:w="2592" w:type="dxa"/>
            <w:gridSpan w:val="2"/>
            <w:vAlign w:val="center"/>
          </w:tcPr>
          <w:p>
            <w:pPr>
              <w:widowControl/>
              <w:spacing w:line="360" w:lineRule="auto"/>
              <w:jc w:val="center"/>
              <w:rPr>
                <w:rFonts w:hint="eastAsia" w:ascii="仿宋_GB2312" w:hAnsi="宋体" w:eastAsia="仿宋_GB2312" w:cs="宋体"/>
                <w:kern w:val="0"/>
                <w:sz w:val="18"/>
                <w:szCs w:val="18"/>
              </w:rPr>
            </w:pPr>
            <w:r>
              <w:rPr>
                <w:rFonts w:hint="eastAsia" w:ascii="仿宋_GB2312" w:hAnsi="仿宋_GB2312" w:eastAsia="仿宋_GB2312" w:cs="仿宋_GB2312"/>
                <w:kern w:val="0"/>
                <w:sz w:val="18"/>
                <w:szCs w:val="18"/>
              </w:rPr>
              <w:t>网络营销综合实训</w:t>
            </w:r>
          </w:p>
        </w:tc>
        <w:tc>
          <w:tcPr>
            <w:tcW w:w="727" w:type="dxa"/>
            <w:vAlign w:val="center"/>
          </w:tcPr>
          <w:p>
            <w:pPr>
              <w:widowControl/>
              <w:spacing w:line="360" w:lineRule="auto"/>
              <w:jc w:val="center"/>
              <w:rPr>
                <w:rFonts w:hint="eastAsia" w:ascii="仿宋_GB2312" w:hAnsi="宋体" w:eastAsia="仿宋_GB2312" w:cs="宋体"/>
                <w:kern w:val="0"/>
                <w:sz w:val="18"/>
                <w:szCs w:val="18"/>
              </w:rPr>
            </w:pPr>
            <w:r>
              <w:rPr>
                <w:rFonts w:ascii="仿宋_GB2312" w:hAnsi="仿宋_GB2312" w:eastAsia="仿宋_GB2312" w:cs="仿宋_GB2312"/>
                <w:kern w:val="0"/>
                <w:sz w:val="18"/>
                <w:szCs w:val="18"/>
              </w:rPr>
              <w:t>4</w:t>
            </w:r>
            <w:r>
              <w:rPr>
                <w:rFonts w:hint="eastAsia" w:ascii="仿宋_GB2312" w:hAnsi="仿宋_GB2312" w:eastAsia="仿宋_GB2312" w:cs="仿宋_GB2312"/>
                <w:kern w:val="0"/>
                <w:sz w:val="18"/>
                <w:szCs w:val="18"/>
              </w:rPr>
              <w:t>周</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4</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120</w:t>
            </w:r>
          </w:p>
        </w:tc>
        <w:tc>
          <w:tcPr>
            <w:tcW w:w="375" w:type="dxa"/>
            <w:vAlign w:val="center"/>
          </w:tcPr>
          <w:p>
            <w:pPr>
              <w:adjustRightInd w:val="0"/>
              <w:snapToGrid w:val="0"/>
              <w:jc w:val="center"/>
              <w:rPr>
                <w:rFonts w:hint="eastAsia" w:ascii="仿宋_GB2312" w:hAnsi="宋体" w:eastAsia="仿宋_GB2312" w:cs="宋体"/>
                <w:kern w:val="0"/>
                <w:sz w:val="18"/>
                <w:szCs w:val="18"/>
              </w:rPr>
            </w:pPr>
          </w:p>
        </w:tc>
        <w:tc>
          <w:tcPr>
            <w:tcW w:w="559"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rPr>
                <w:rFonts w:hint="eastAsia" w:ascii="仿宋_GB2312" w:hAnsi="宋体" w:eastAsia="仿宋_GB2312" w:cs="宋体"/>
                <w:kern w:val="0"/>
                <w:sz w:val="18"/>
                <w:szCs w:val="18"/>
              </w:rPr>
            </w:pP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4</w:t>
            </w:r>
            <w:r>
              <w:rPr>
                <w:rFonts w:hint="eastAsia" w:ascii="仿宋_GB2312" w:hAnsi="仿宋_GB2312" w:eastAsia="仿宋_GB2312" w:cs="仿宋_GB2312"/>
                <w:kern w:val="0"/>
                <w:sz w:val="18"/>
                <w:szCs w:val="18"/>
              </w:rPr>
              <w:t>周</w:t>
            </w: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25" w:type="dxa"/>
            <w:gridSpan w:val="2"/>
            <w:vMerge w:val="continue"/>
            <w:vAlign w:val="center"/>
          </w:tcPr>
          <w:p>
            <w:pPr>
              <w:adjustRightInd w:val="0"/>
              <w:snapToGrid w:val="0"/>
              <w:jc w:val="center"/>
              <w:rPr>
                <w:rFonts w:hint="eastAsia" w:ascii="仿宋_GB2312" w:hAnsi="宋体" w:eastAsia="仿宋_GB2312" w:cs="宋体"/>
                <w:kern w:val="0"/>
                <w:sz w:val="18"/>
                <w:szCs w:val="18"/>
              </w:rPr>
            </w:pPr>
          </w:p>
        </w:tc>
        <w:tc>
          <w:tcPr>
            <w:tcW w:w="2592" w:type="dxa"/>
            <w:gridSpan w:val="2"/>
            <w:vAlign w:val="center"/>
          </w:tcPr>
          <w:p>
            <w:pPr>
              <w:widowControl/>
              <w:spacing w:line="360" w:lineRule="auto"/>
              <w:jc w:val="center"/>
              <w:rPr>
                <w:rFonts w:hint="eastAsia" w:ascii="仿宋_GB2312" w:hAnsi="宋体" w:eastAsia="仿宋_GB2312" w:cs="宋体"/>
                <w:kern w:val="0"/>
                <w:sz w:val="18"/>
                <w:szCs w:val="18"/>
              </w:rPr>
            </w:pPr>
            <w:r>
              <w:rPr>
                <w:rFonts w:hint="eastAsia" w:ascii="仿宋_GB2312" w:hAnsi="仿宋_GB2312" w:eastAsia="仿宋_GB2312" w:cs="仿宋_GB2312"/>
                <w:kern w:val="0"/>
                <w:sz w:val="18"/>
                <w:szCs w:val="18"/>
              </w:rPr>
              <w:t>电子商务综合实训</w:t>
            </w:r>
          </w:p>
        </w:tc>
        <w:tc>
          <w:tcPr>
            <w:tcW w:w="727" w:type="dxa"/>
            <w:vAlign w:val="center"/>
          </w:tcPr>
          <w:p>
            <w:pPr>
              <w:widowControl/>
              <w:spacing w:line="360" w:lineRule="auto"/>
              <w:jc w:val="center"/>
              <w:rPr>
                <w:rFonts w:hint="eastAsia" w:ascii="仿宋_GB2312" w:hAnsi="宋体" w:eastAsia="仿宋_GB2312" w:cs="宋体"/>
                <w:kern w:val="0"/>
                <w:sz w:val="18"/>
                <w:szCs w:val="18"/>
              </w:rPr>
            </w:pPr>
            <w:r>
              <w:rPr>
                <w:rFonts w:ascii="仿宋_GB2312" w:hAnsi="仿宋_GB2312" w:eastAsia="仿宋_GB2312" w:cs="仿宋_GB2312"/>
                <w:kern w:val="0"/>
                <w:sz w:val="18"/>
                <w:szCs w:val="18"/>
              </w:rPr>
              <w:t>6</w:t>
            </w:r>
            <w:r>
              <w:rPr>
                <w:rFonts w:hint="eastAsia" w:ascii="仿宋_GB2312" w:hAnsi="仿宋_GB2312" w:eastAsia="仿宋_GB2312" w:cs="仿宋_GB2312"/>
                <w:kern w:val="0"/>
                <w:sz w:val="18"/>
                <w:szCs w:val="18"/>
              </w:rPr>
              <w:t>周</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6</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180</w:t>
            </w:r>
          </w:p>
        </w:tc>
        <w:tc>
          <w:tcPr>
            <w:tcW w:w="375" w:type="dxa"/>
            <w:vAlign w:val="center"/>
          </w:tcPr>
          <w:p>
            <w:pPr>
              <w:adjustRightInd w:val="0"/>
              <w:snapToGrid w:val="0"/>
              <w:jc w:val="center"/>
              <w:rPr>
                <w:rFonts w:hint="eastAsia" w:ascii="仿宋_GB2312" w:hAnsi="宋体" w:eastAsia="仿宋_GB2312" w:cs="宋体"/>
                <w:kern w:val="0"/>
                <w:sz w:val="18"/>
                <w:szCs w:val="18"/>
              </w:rPr>
            </w:pPr>
          </w:p>
        </w:tc>
        <w:tc>
          <w:tcPr>
            <w:tcW w:w="559"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rPr>
                <w:rFonts w:hint="eastAsia" w:ascii="仿宋_GB2312" w:hAnsi="宋体" w:eastAsia="仿宋_GB2312" w:cs="宋体"/>
                <w:kern w:val="0"/>
                <w:sz w:val="18"/>
                <w:szCs w:val="18"/>
              </w:rPr>
            </w:pP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6</w:t>
            </w:r>
            <w:r>
              <w:rPr>
                <w:rFonts w:hint="eastAsia" w:ascii="仿宋_GB2312" w:hAnsi="仿宋_GB2312" w:eastAsia="仿宋_GB2312" w:cs="仿宋_GB2312"/>
                <w:kern w:val="0"/>
                <w:sz w:val="18"/>
                <w:szCs w:val="18"/>
              </w:rPr>
              <w:t>周</w:t>
            </w: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25" w:type="dxa"/>
            <w:gridSpan w:val="2"/>
            <w:vMerge w:val="continue"/>
            <w:vAlign w:val="center"/>
          </w:tcPr>
          <w:p>
            <w:pPr>
              <w:adjustRightInd w:val="0"/>
              <w:snapToGrid w:val="0"/>
              <w:jc w:val="center"/>
              <w:rPr>
                <w:rFonts w:hint="eastAsia" w:ascii="仿宋_GB2312" w:hAnsi="宋体" w:eastAsia="仿宋_GB2312" w:cs="宋体"/>
                <w:kern w:val="0"/>
                <w:sz w:val="18"/>
                <w:szCs w:val="18"/>
              </w:rPr>
            </w:pPr>
          </w:p>
        </w:tc>
        <w:tc>
          <w:tcPr>
            <w:tcW w:w="2592" w:type="dxa"/>
            <w:gridSpan w:val="2"/>
            <w:vAlign w:val="center"/>
          </w:tcPr>
          <w:p>
            <w:pPr>
              <w:widowControl/>
              <w:spacing w:line="360" w:lineRule="auto"/>
              <w:jc w:val="center"/>
              <w:rPr>
                <w:rFonts w:hint="eastAsia" w:ascii="仿宋_GB2312" w:hAnsi="宋体" w:eastAsia="仿宋_GB2312" w:cs="宋体"/>
                <w:kern w:val="0"/>
                <w:sz w:val="18"/>
                <w:szCs w:val="18"/>
              </w:rPr>
            </w:pPr>
            <w:r>
              <w:rPr>
                <w:rFonts w:hint="eastAsia" w:ascii="仿宋_GB2312" w:hAnsi="仿宋_GB2312" w:eastAsia="仿宋_GB2312" w:cs="仿宋_GB2312"/>
                <w:kern w:val="0"/>
                <w:sz w:val="18"/>
                <w:szCs w:val="18"/>
              </w:rPr>
              <w:t>岗位实习</w:t>
            </w:r>
          </w:p>
        </w:tc>
        <w:tc>
          <w:tcPr>
            <w:tcW w:w="727" w:type="dxa"/>
            <w:vAlign w:val="center"/>
          </w:tcPr>
          <w:p>
            <w:pPr>
              <w:widowControl/>
              <w:spacing w:line="360" w:lineRule="auto"/>
              <w:jc w:val="center"/>
              <w:rPr>
                <w:rFonts w:hint="eastAsia" w:ascii="仿宋_GB2312" w:hAnsi="宋体" w:eastAsia="仿宋_GB2312" w:cs="宋体"/>
                <w:kern w:val="0"/>
                <w:sz w:val="18"/>
                <w:szCs w:val="18"/>
              </w:rPr>
            </w:pPr>
            <w:r>
              <w:rPr>
                <w:rFonts w:hint="eastAsia" w:ascii="仿宋_GB2312" w:hAnsi="仿宋_GB2312" w:eastAsia="仿宋_GB2312" w:cs="仿宋_GB2312"/>
                <w:kern w:val="0"/>
                <w:sz w:val="18"/>
                <w:szCs w:val="18"/>
              </w:rPr>
              <w:t>20周周</w:t>
            </w:r>
          </w:p>
        </w:tc>
        <w:tc>
          <w:tcPr>
            <w:tcW w:w="765"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20</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600</w:t>
            </w:r>
          </w:p>
        </w:tc>
        <w:tc>
          <w:tcPr>
            <w:tcW w:w="375" w:type="dxa"/>
            <w:vAlign w:val="center"/>
          </w:tcPr>
          <w:p>
            <w:pPr>
              <w:adjustRightInd w:val="0"/>
              <w:snapToGrid w:val="0"/>
              <w:jc w:val="center"/>
              <w:rPr>
                <w:rFonts w:hint="eastAsia" w:ascii="仿宋_GB2312" w:hAnsi="宋体" w:eastAsia="仿宋_GB2312" w:cs="宋体"/>
                <w:kern w:val="0"/>
                <w:sz w:val="18"/>
                <w:szCs w:val="18"/>
              </w:rPr>
            </w:pPr>
          </w:p>
        </w:tc>
        <w:tc>
          <w:tcPr>
            <w:tcW w:w="559"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rPr>
                <w:rFonts w:hint="eastAsia" w:ascii="仿宋_GB2312" w:hAnsi="宋体" w:eastAsia="仿宋_GB2312" w:cs="宋体"/>
                <w:kern w:val="0"/>
                <w:sz w:val="18"/>
                <w:szCs w:val="18"/>
              </w:rPr>
            </w:pP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25" w:type="dxa"/>
            <w:gridSpan w:val="2"/>
            <w:vMerge w:val="continue"/>
            <w:vAlign w:val="center"/>
          </w:tcPr>
          <w:p>
            <w:pPr>
              <w:adjustRightInd w:val="0"/>
              <w:snapToGrid w:val="0"/>
              <w:jc w:val="center"/>
              <w:rPr>
                <w:rFonts w:hint="eastAsia" w:ascii="仿宋_GB2312" w:hAnsi="宋体" w:eastAsia="仿宋_GB2312" w:cs="宋体"/>
                <w:kern w:val="0"/>
                <w:sz w:val="18"/>
                <w:szCs w:val="18"/>
              </w:rPr>
            </w:pPr>
          </w:p>
        </w:tc>
        <w:tc>
          <w:tcPr>
            <w:tcW w:w="2592" w:type="dxa"/>
            <w:gridSpan w:val="2"/>
            <w:vAlign w:val="center"/>
          </w:tcPr>
          <w:p>
            <w:pPr>
              <w:adjustRightInd w:val="0"/>
              <w:snapToGrid w:val="0"/>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小计（占总课时比例34.5%）</w:t>
            </w:r>
          </w:p>
        </w:tc>
        <w:tc>
          <w:tcPr>
            <w:tcW w:w="727"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1140</w:t>
            </w:r>
          </w:p>
        </w:tc>
        <w:tc>
          <w:tcPr>
            <w:tcW w:w="76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38</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1140</w:t>
            </w:r>
          </w:p>
        </w:tc>
        <w:tc>
          <w:tcPr>
            <w:tcW w:w="375" w:type="dxa"/>
            <w:vAlign w:val="center"/>
          </w:tcPr>
          <w:p>
            <w:pPr>
              <w:adjustRightInd w:val="0"/>
              <w:snapToGrid w:val="0"/>
              <w:jc w:val="center"/>
              <w:rPr>
                <w:rFonts w:hint="eastAsia" w:ascii="仿宋_GB2312" w:hAnsi="宋体" w:eastAsia="仿宋_GB2312" w:cs="宋体"/>
                <w:kern w:val="0"/>
                <w:sz w:val="18"/>
                <w:szCs w:val="18"/>
              </w:rPr>
            </w:pPr>
          </w:p>
        </w:tc>
        <w:tc>
          <w:tcPr>
            <w:tcW w:w="559"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420" w:type="dxa"/>
            <w:vAlign w:val="center"/>
          </w:tcPr>
          <w:p>
            <w:pPr>
              <w:adjustRightInd w:val="0"/>
              <w:snapToGrid w:val="0"/>
              <w:rPr>
                <w:rFonts w:hint="eastAsia" w:ascii="仿宋_GB2312" w:hAnsi="宋体" w:eastAsia="仿宋_GB2312" w:cs="宋体"/>
                <w:kern w:val="0"/>
                <w:sz w:val="18"/>
                <w:szCs w:val="18"/>
              </w:rPr>
            </w:pPr>
          </w:p>
        </w:tc>
        <w:tc>
          <w:tcPr>
            <w:tcW w:w="491" w:type="dxa"/>
            <w:vAlign w:val="center"/>
          </w:tcPr>
          <w:p>
            <w:pPr>
              <w:adjustRightInd w:val="0"/>
              <w:snapToGrid w:val="0"/>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25" w:type="dxa"/>
            <w:gridSpan w:val="2"/>
            <w:vMerge w:val="restart"/>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仿宋_GB2312" w:eastAsia="仿宋_GB2312" w:cs="仿宋_GB2312"/>
                <w:kern w:val="0"/>
                <w:sz w:val="18"/>
                <w:szCs w:val="18"/>
              </w:rPr>
              <w:t>综合素养课程</w:t>
            </w: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197" w:type="dxa"/>
            <w:vAlign w:val="center"/>
          </w:tcPr>
          <w:p>
            <w:pPr>
              <w:widowControl/>
              <w:spacing w:line="360" w:lineRule="auto"/>
              <w:jc w:val="center"/>
              <w:rPr>
                <w:rFonts w:hint="eastAsia" w:ascii="仿宋_GB2312" w:hAnsi="宋体" w:eastAsia="仿宋_GB2312" w:cs="宋体"/>
                <w:kern w:val="0"/>
                <w:sz w:val="18"/>
                <w:szCs w:val="18"/>
              </w:rPr>
            </w:pPr>
            <w:r>
              <w:rPr>
                <w:rFonts w:hint="eastAsia" w:ascii="仿宋_GB2312" w:hAnsi="仿宋_GB2312" w:eastAsia="仿宋_GB2312" w:cs="仿宋_GB2312"/>
                <w:kern w:val="0"/>
                <w:sz w:val="18"/>
                <w:szCs w:val="18"/>
              </w:rPr>
              <w:t>入学教育与军训</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60</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2周</w:t>
            </w: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25" w:type="dxa"/>
            <w:gridSpan w:val="2"/>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197" w:type="dxa"/>
            <w:vAlign w:val="center"/>
          </w:tcPr>
          <w:p>
            <w:pPr>
              <w:widowControl/>
              <w:spacing w:line="360" w:lineRule="auto"/>
              <w:jc w:val="center"/>
              <w:rPr>
                <w:rFonts w:hint="eastAsia" w:ascii="仿宋_GB2312" w:hAnsi="宋体" w:eastAsia="仿宋_GB2312" w:cs="宋体"/>
                <w:kern w:val="0"/>
                <w:sz w:val="18"/>
                <w:szCs w:val="18"/>
              </w:rPr>
            </w:pPr>
            <w:r>
              <w:rPr>
                <w:rFonts w:hint="eastAsia" w:ascii="仿宋_GB2312" w:hAnsi="仿宋_GB2312" w:eastAsia="仿宋_GB2312" w:cs="仿宋_GB2312"/>
                <w:kern w:val="0"/>
                <w:sz w:val="18"/>
                <w:szCs w:val="18"/>
              </w:rPr>
              <w:t>社会调查与实践</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1周</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1周</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420" w:type="dxa"/>
            <w:vAlign w:val="center"/>
          </w:tcPr>
          <w:p>
            <w:pPr>
              <w:widowControl/>
              <w:spacing w:line="360" w:lineRule="auto"/>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kern w:val="0"/>
                <w:sz w:val="18"/>
                <w:szCs w:val="18"/>
              </w:rPr>
              <w:t>1周</w:t>
            </w: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25" w:type="dxa"/>
            <w:gridSpan w:val="2"/>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197" w:type="dxa"/>
            <w:vAlign w:val="center"/>
          </w:tcPr>
          <w:p>
            <w:pPr>
              <w:widowControl/>
              <w:spacing w:line="360" w:lineRule="auto"/>
              <w:jc w:val="center"/>
              <w:rPr>
                <w:rFonts w:hint="eastAsia" w:ascii="仿宋_GB2312" w:hAnsi="宋体" w:eastAsia="仿宋_GB2312" w:cs="宋体"/>
                <w:kern w:val="0"/>
                <w:sz w:val="18"/>
                <w:szCs w:val="18"/>
              </w:rPr>
            </w:pPr>
            <w:r>
              <w:rPr>
                <w:rFonts w:hint="eastAsia" w:ascii="仿宋_GB2312" w:hAnsi="仿宋_GB2312" w:eastAsia="仿宋_GB2312" w:cs="仿宋_GB2312"/>
                <w:kern w:val="0"/>
                <w:sz w:val="18"/>
                <w:szCs w:val="18"/>
              </w:rPr>
              <w:t>就业指导</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1</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25" w:type="dxa"/>
            <w:gridSpan w:val="2"/>
            <w:vMerge w:val="continue"/>
            <w:vAlign w:val="center"/>
          </w:tcPr>
          <w:p>
            <w:pPr>
              <w:adjustRightInd w:val="0"/>
              <w:snapToGrid w:val="0"/>
              <w:jc w:val="center"/>
              <w:rPr>
                <w:rFonts w:hint="eastAsia" w:ascii="仿宋_GB2312" w:hAnsi="宋体" w:eastAsia="仿宋_GB2312" w:cs="宋体"/>
                <w:kern w:val="0"/>
                <w:sz w:val="18"/>
                <w:szCs w:val="18"/>
              </w:rPr>
            </w:pPr>
          </w:p>
        </w:tc>
        <w:tc>
          <w:tcPr>
            <w:tcW w:w="395"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197" w:type="dxa"/>
            <w:vAlign w:val="center"/>
          </w:tcPr>
          <w:p>
            <w:pPr>
              <w:widowControl/>
              <w:spacing w:line="360" w:lineRule="auto"/>
              <w:jc w:val="center"/>
              <w:rPr>
                <w:rFonts w:hint="eastAsia" w:ascii="仿宋_GB2312" w:hAnsi="宋体" w:eastAsia="仿宋_GB2312" w:cs="宋体"/>
                <w:kern w:val="0"/>
                <w:sz w:val="18"/>
                <w:szCs w:val="18"/>
              </w:rPr>
            </w:pPr>
            <w:r>
              <w:rPr>
                <w:rFonts w:hint="eastAsia" w:ascii="仿宋_GB2312" w:hAnsi="仿宋_GB2312" w:eastAsia="仿宋_GB2312" w:cs="仿宋_GB2312"/>
                <w:kern w:val="0"/>
                <w:sz w:val="18"/>
                <w:szCs w:val="18"/>
              </w:rPr>
              <w:t>毕业教育</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1</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25" w:type="dxa"/>
            <w:gridSpan w:val="2"/>
            <w:vMerge w:val="continue"/>
            <w:vAlign w:val="center"/>
          </w:tcPr>
          <w:p>
            <w:pPr>
              <w:adjustRightInd w:val="0"/>
              <w:snapToGrid w:val="0"/>
              <w:jc w:val="center"/>
              <w:rPr>
                <w:rFonts w:hint="eastAsia" w:ascii="仿宋_GB2312" w:hAnsi="宋体" w:eastAsia="仿宋_GB2312" w:cs="宋体"/>
                <w:kern w:val="0"/>
                <w:sz w:val="18"/>
                <w:szCs w:val="18"/>
              </w:rPr>
            </w:pPr>
          </w:p>
        </w:tc>
        <w:tc>
          <w:tcPr>
            <w:tcW w:w="2592" w:type="dxa"/>
            <w:gridSpan w:val="2"/>
            <w:vAlign w:val="center"/>
          </w:tcPr>
          <w:p>
            <w:pPr>
              <w:adjustRightInd w:val="0"/>
              <w:snapToGrid w:val="0"/>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小计（占总课时比例1.8%）</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60</w:t>
            </w:r>
          </w:p>
        </w:tc>
        <w:tc>
          <w:tcPr>
            <w:tcW w:w="76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375" w:type="dxa"/>
            <w:vAlign w:val="center"/>
          </w:tcPr>
          <w:p>
            <w:pPr>
              <w:adjustRightInd w:val="0"/>
              <w:snapToGrid w:val="0"/>
              <w:rPr>
                <w:rFonts w:hint="eastAsia" w:ascii="仿宋_GB2312" w:hAnsi="宋体" w:eastAsia="仿宋_GB2312" w:cs="宋体"/>
                <w:kern w:val="0"/>
                <w:sz w:val="18"/>
                <w:szCs w:val="18"/>
              </w:rPr>
            </w:pPr>
          </w:p>
        </w:tc>
        <w:tc>
          <w:tcPr>
            <w:tcW w:w="559"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500" w:type="dxa"/>
            <w:vAlign w:val="center"/>
          </w:tcPr>
          <w:p>
            <w:pPr>
              <w:adjustRightInd w:val="0"/>
              <w:snapToGrid w:val="0"/>
              <w:jc w:val="center"/>
              <w:rPr>
                <w:rFonts w:hint="eastAsia" w:ascii="仿宋_GB2312" w:hAnsi="宋体" w:eastAsia="仿宋_GB2312" w:cs="宋体"/>
                <w:kern w:val="0"/>
                <w:sz w:val="18"/>
                <w:szCs w:val="18"/>
              </w:rPr>
            </w:pPr>
          </w:p>
        </w:tc>
        <w:tc>
          <w:tcPr>
            <w:tcW w:w="420" w:type="dxa"/>
            <w:vAlign w:val="center"/>
          </w:tcPr>
          <w:p>
            <w:pPr>
              <w:adjustRightInd w:val="0"/>
              <w:snapToGrid w:val="0"/>
              <w:jc w:val="center"/>
              <w:rPr>
                <w:rFonts w:hint="eastAsia" w:ascii="仿宋_GB2312" w:hAnsi="宋体" w:eastAsia="仿宋_GB2312" w:cs="宋体"/>
                <w:kern w:val="0"/>
                <w:sz w:val="18"/>
                <w:szCs w:val="18"/>
              </w:rPr>
            </w:pPr>
          </w:p>
        </w:tc>
        <w:tc>
          <w:tcPr>
            <w:tcW w:w="491" w:type="dxa"/>
            <w:vAlign w:val="center"/>
          </w:tcPr>
          <w:p>
            <w:pPr>
              <w:adjustRightInd w:val="0"/>
              <w:snapToGrid w:val="0"/>
              <w:rPr>
                <w:rFonts w:hint="eastAsia" w:ascii="仿宋_GB2312" w:hAnsi="宋体" w:eastAsia="仿宋_GB2312" w:cs="宋体"/>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jc w:val="center"/>
        </w:trPr>
        <w:tc>
          <w:tcPr>
            <w:tcW w:w="3517" w:type="dxa"/>
            <w:gridSpan w:val="4"/>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周课时及学分合计</w:t>
            </w:r>
          </w:p>
        </w:tc>
        <w:tc>
          <w:tcPr>
            <w:tcW w:w="727" w:type="dxa"/>
            <w:vAlign w:val="center"/>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3300</w:t>
            </w:r>
          </w:p>
        </w:tc>
        <w:tc>
          <w:tcPr>
            <w:tcW w:w="765" w:type="dxa"/>
          </w:tcPr>
          <w:p>
            <w:pPr>
              <w:widowControl/>
              <w:spacing w:line="360" w:lineRule="auto"/>
              <w:jc w:val="center"/>
              <w:rPr>
                <w:rFonts w:hint="eastAsia" w:ascii="仿宋_GB2312" w:hAnsi="仿宋_GB2312" w:eastAsia="仿宋_GB2312" w:cs="仿宋_GB2312"/>
                <w:kern w:val="0"/>
                <w:sz w:val="18"/>
                <w:szCs w:val="18"/>
              </w:rPr>
            </w:pPr>
            <w:r>
              <w:rPr>
                <w:rFonts w:ascii="仿宋_GB2312" w:hAnsi="仿宋_GB2312" w:eastAsia="仿宋_GB2312" w:cs="仿宋_GB2312"/>
                <w:kern w:val="0"/>
                <w:sz w:val="18"/>
                <w:szCs w:val="18"/>
              </w:rPr>
              <w:t>158</w:t>
            </w:r>
          </w:p>
        </w:tc>
        <w:tc>
          <w:tcPr>
            <w:tcW w:w="663"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1939</w:t>
            </w:r>
          </w:p>
        </w:tc>
        <w:tc>
          <w:tcPr>
            <w:tcW w:w="375"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59"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0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20"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91" w:type="dxa"/>
            <w:vAlign w:val="center"/>
          </w:tcPr>
          <w:p>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jc w:val="center"/>
        </w:trPr>
        <w:tc>
          <w:tcPr>
            <w:tcW w:w="3517" w:type="dxa"/>
            <w:gridSpan w:val="4"/>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总学时</w:t>
            </w:r>
          </w:p>
        </w:tc>
        <w:tc>
          <w:tcPr>
            <w:tcW w:w="1492" w:type="dxa"/>
            <w:gridSpan w:val="2"/>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3300</w:t>
            </w:r>
          </w:p>
        </w:tc>
        <w:tc>
          <w:tcPr>
            <w:tcW w:w="663" w:type="dxa"/>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1939</w:t>
            </w:r>
          </w:p>
        </w:tc>
        <w:tc>
          <w:tcPr>
            <w:tcW w:w="2845" w:type="dxa"/>
            <w:gridSpan w:val="6"/>
            <w:vAlign w:val="center"/>
          </w:tcPr>
          <w:p>
            <w:pPr>
              <w:adjustRightInd w:val="0"/>
              <w:snapToGrid w:val="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实践学时占比58.8%</w:t>
            </w:r>
          </w:p>
        </w:tc>
      </w:tr>
      <w:bookmarkEnd w:id="53"/>
    </w:tbl>
    <w:p>
      <w:pPr>
        <w:pStyle w:val="2"/>
        <w:numPr>
          <w:ilvl w:val="0"/>
          <w:numId w:val="1"/>
        </w:numPr>
        <w:snapToGrid w:val="0"/>
        <w:spacing w:before="0" w:after="0" w:line="360" w:lineRule="auto"/>
        <w:rPr>
          <w:rFonts w:ascii="黑体" w:hAnsi="Times New Roman"/>
          <w:sz w:val="28"/>
          <w:szCs w:val="28"/>
        </w:rPr>
      </w:pPr>
      <w:bookmarkStart w:id="54" w:name="_Toc12971"/>
      <w:r>
        <w:rPr>
          <w:rFonts w:hint="eastAsia" w:ascii="黑体" w:hAnsi="Times New Roman"/>
          <w:sz w:val="28"/>
          <w:szCs w:val="28"/>
        </w:rPr>
        <w:t>实施保障</w:t>
      </w:r>
      <w:bookmarkEnd w:id="54"/>
    </w:p>
    <w:p>
      <w:pPr>
        <w:numPr>
          <w:ilvl w:val="0"/>
          <w:numId w:val="10"/>
        </w:numPr>
        <w:spacing w:line="360" w:lineRule="auto"/>
        <w:outlineLvl w:val="1"/>
        <w:rPr>
          <w:rFonts w:hint="eastAsia" w:asciiTheme="minorEastAsia" w:hAnsiTheme="minorEastAsia" w:eastAsiaTheme="minorEastAsia" w:cstheme="minorEastAsia"/>
          <w:b/>
          <w:bCs/>
          <w:sz w:val="24"/>
          <w:szCs w:val="24"/>
        </w:rPr>
      </w:pPr>
      <w:bookmarkStart w:id="55" w:name="_Toc28171"/>
      <w:r>
        <w:rPr>
          <w:rFonts w:hint="eastAsia" w:asciiTheme="minorEastAsia" w:hAnsiTheme="minorEastAsia" w:eastAsiaTheme="minorEastAsia" w:cstheme="minorEastAsia"/>
          <w:b/>
          <w:bCs/>
          <w:sz w:val="24"/>
          <w:szCs w:val="24"/>
        </w:rPr>
        <w:t>师资队伍</w:t>
      </w:r>
      <w:bookmarkEnd w:id="55"/>
    </w:p>
    <w:p>
      <w:pPr>
        <w:pStyle w:val="6"/>
        <w:numPr>
          <w:ilvl w:val="0"/>
          <w:numId w:val="11"/>
        </w:num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教师队伍结构</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任教师队伍的数量、学历和职称符合教育部颁布的《中等职业学校教师专业标准》和《中等职业学校设置标准》的有关规定，具有合理的梯队结构，相关专业高级职称教师10人，专任教师中具有高级专业技术职务人数达到29%，中级以上专业技术职务的专业教师15人。建立“双师型”专业教师团队，其中“双师型”教师达到63%；并具有业务水平较高的专业带头人。</w:t>
      </w:r>
    </w:p>
    <w:p>
      <w:pPr>
        <w:pStyle w:val="6"/>
        <w:numPr>
          <w:ilvl w:val="0"/>
          <w:numId w:val="11"/>
        </w:num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专业带头人</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专业带头人</w:t>
      </w:r>
      <w:r>
        <w:rPr>
          <w:rFonts w:hint="eastAsia" w:asciiTheme="minorEastAsia" w:hAnsiTheme="minorEastAsia" w:eastAsiaTheme="minorEastAsia" w:cstheme="minorEastAsia"/>
          <w:sz w:val="24"/>
          <w:szCs w:val="24"/>
        </w:rPr>
        <w:t>具有较强的实践能力，能广泛联系行业企业，了解国内外电子商务行业发展新趋势，准确把握行业企业用人需求，具有组织开展特色化专业建设、教科研工作和企业服务的能力，在本专业改革发展中起引领作用。连年被评为优秀教师。在教育教学、教研教改、辅导学生参加电子商务技能比赛并取得了较好的成绩。</w:t>
      </w:r>
    </w:p>
    <w:p>
      <w:pPr>
        <w:pStyle w:val="6"/>
        <w:numPr>
          <w:ilvl w:val="0"/>
          <w:numId w:val="11"/>
        </w:num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专任教师</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任教师有良好的师德和扎实的专业理论知识；100%的教师具有中等职业学校教师资格证书，60%具备中级以上职业资格；教师具备开展实施课程思政能力，能够落实课程思政要求，深挖课程思政资源，落实教师每年不少于一个月的企业实践，五年不少于6个月的企业实践要求，对本专业课程有较全面的了解，全部有企业工作经验或实践经历，能把握本专业前沿知识与技术，具备教学设计和实施能力。</w:t>
      </w:r>
    </w:p>
    <w:p>
      <w:pPr>
        <w:pStyle w:val="6"/>
        <w:numPr>
          <w:ilvl w:val="0"/>
          <w:numId w:val="11"/>
        </w:num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兼职教师</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接企业新经济、新技术、新业态、新职业，从行业企业聘请兼职教师8人，企业兼职教师占比20%以上，均具备良好的思想政治素质、职业道德和工匠精神。兼职教师参与本专业的教研活动，把企业的新方法、新技术、新工艺、新标准引入教学当中，对教学中存在的问题及时进行总结和反思。</w:t>
      </w:r>
    </w:p>
    <w:p>
      <w:pPr>
        <w:spacing w:line="500" w:lineRule="exact"/>
        <w:ind w:firstLine="480" w:firstLineChars="200"/>
        <w:rPr>
          <w:rFonts w:hint="eastAsia" w:asciiTheme="minorEastAsia" w:hAnsiTheme="minorEastAsia" w:eastAsiaTheme="minorEastAsia" w:cstheme="minorEastAsia"/>
          <w:sz w:val="24"/>
          <w:szCs w:val="24"/>
        </w:rPr>
      </w:pPr>
    </w:p>
    <w:p>
      <w:pPr>
        <w:numPr>
          <w:ilvl w:val="0"/>
          <w:numId w:val="10"/>
        </w:numPr>
        <w:spacing w:line="360" w:lineRule="auto"/>
        <w:outlineLvl w:val="1"/>
        <w:rPr>
          <w:rFonts w:hint="eastAsia" w:asciiTheme="minorEastAsia" w:hAnsiTheme="minorEastAsia" w:eastAsiaTheme="minorEastAsia" w:cstheme="minorEastAsia"/>
          <w:b/>
          <w:bCs/>
          <w:sz w:val="24"/>
          <w:szCs w:val="24"/>
        </w:rPr>
      </w:pPr>
      <w:bookmarkStart w:id="56" w:name="_Toc70669116"/>
      <w:bookmarkStart w:id="57" w:name="_Toc135493334"/>
      <w:bookmarkStart w:id="58" w:name="_Toc109224863"/>
      <w:bookmarkStart w:id="59" w:name="_Toc17907"/>
      <w:bookmarkStart w:id="60" w:name="_Toc117938458"/>
      <w:r>
        <w:rPr>
          <w:rFonts w:hint="eastAsia" w:asciiTheme="minorEastAsia" w:hAnsiTheme="minorEastAsia" w:eastAsiaTheme="minorEastAsia" w:cstheme="minorEastAsia"/>
          <w:b/>
          <w:bCs/>
          <w:sz w:val="24"/>
          <w:szCs w:val="24"/>
        </w:rPr>
        <w:t>教学设施</w:t>
      </w:r>
      <w:bookmarkEnd w:id="56"/>
      <w:bookmarkEnd w:id="57"/>
      <w:bookmarkEnd w:id="58"/>
      <w:bookmarkEnd w:id="59"/>
      <w:bookmarkEnd w:id="60"/>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本专业配备电商实训中心和校外实训基地。</w:t>
      </w:r>
    </w:p>
    <w:p>
      <w:pPr>
        <w:numPr>
          <w:ilvl w:val="0"/>
          <w:numId w:val="12"/>
        </w:numPr>
        <w:spacing w:line="360" w:lineRule="auto"/>
        <w:rPr>
          <w:rFonts w:hint="eastAsia" w:asciiTheme="minorEastAsia" w:hAnsiTheme="minorEastAsia" w:eastAsiaTheme="minorEastAsia" w:cstheme="minorEastAsia"/>
          <w:sz w:val="24"/>
          <w:szCs w:val="24"/>
        </w:rPr>
      </w:pPr>
      <w:bookmarkStart w:id="61" w:name="_Toc70669117"/>
      <w:r>
        <w:rPr>
          <w:rFonts w:hint="eastAsia" w:asciiTheme="minorEastAsia" w:hAnsiTheme="minorEastAsia" w:eastAsiaTheme="minorEastAsia" w:cstheme="minorEastAsia"/>
          <w:sz w:val="24"/>
          <w:szCs w:val="24"/>
        </w:rPr>
        <w:t>电商实训中心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电商实训中心配备视觉化实训室、理实一体化智慧教室、新媒体营销综合实训室、电子商务综合实训室、电子商务客户服务综合实训室、摄影综合实训室、飞行实训室、直播实训室、电子商务生产性实训基地、</w:t>
      </w:r>
      <w:r>
        <w:rPr>
          <w:rFonts w:hint="eastAsia" w:ascii="宋体" w:hAnsi="宋体" w:cs="宋体"/>
          <w:sz w:val="24"/>
          <w:szCs w:val="24"/>
        </w:rPr>
        <w:t>电商录播创客空间</w:t>
      </w:r>
      <w:r>
        <w:rPr>
          <w:rFonts w:hint="eastAsia" w:asciiTheme="minorEastAsia" w:hAnsiTheme="minorEastAsia" w:eastAsiaTheme="minorEastAsia" w:cstheme="minorEastAsia"/>
          <w:sz w:val="24"/>
          <w:szCs w:val="24"/>
        </w:rPr>
        <w:t>等，主要设施设备及数量见下表。</w:t>
      </w:r>
    </w:p>
    <w:p>
      <w:pPr>
        <w:pStyle w:val="4"/>
        <w:spacing w:line="360" w:lineRule="auto"/>
        <w:ind w:left="0" w:leftChars="0"/>
        <w:jc w:val="center"/>
        <w:rPr>
          <w:rFonts w:hint="eastAsia" w:asciiTheme="minorEastAsia" w:hAnsiTheme="minorEastAsia" w:eastAsiaTheme="minorEastAsia" w:cstheme="minorEastAsia"/>
          <w:sz w:val="24"/>
          <w:szCs w:val="24"/>
        </w:rPr>
      </w:pPr>
      <w:r>
        <w:rPr>
          <w:rFonts w:hint="eastAsia" w:ascii="方正仿宋简体" w:hAnsi="方正仿宋简体" w:eastAsia="方正仿宋简体" w:cs="方正仿宋简体"/>
          <w:sz w:val="24"/>
          <w:szCs w:val="24"/>
        </w:rPr>
        <w:t>表9 校内实训一览表</w:t>
      </w:r>
    </w:p>
    <w:tbl>
      <w:tblPr>
        <w:tblStyle w:val="11"/>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656"/>
        <w:gridCol w:w="2647"/>
        <w:gridCol w:w="2114"/>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vMerge w:val="restart"/>
            <w:shd w:val="clear" w:color="auto" w:fill="DEEBF7"/>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1656" w:type="dxa"/>
            <w:vMerge w:val="restart"/>
            <w:shd w:val="clear" w:color="auto" w:fill="DEEBF7"/>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szCs w:val="21"/>
              </w:rPr>
            </w:pPr>
            <w:r>
              <w:rPr>
                <w:rFonts w:hint="eastAsia" w:ascii="仿宋_GB2312" w:hAnsi="仿宋_GB2312" w:eastAsia="仿宋_GB2312" w:cs="仿宋_GB2312"/>
                <w:b/>
                <w:szCs w:val="21"/>
              </w:rPr>
              <w:t>实训室</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szCs w:val="21"/>
              </w:rPr>
            </w:pPr>
            <w:r>
              <w:rPr>
                <w:rFonts w:hint="eastAsia" w:ascii="仿宋_GB2312" w:hAnsi="仿宋_GB2312" w:eastAsia="仿宋_GB2312" w:cs="仿宋_GB2312"/>
                <w:b/>
                <w:szCs w:val="21"/>
              </w:rPr>
              <w:t>名称及面积</w:t>
            </w:r>
          </w:p>
        </w:tc>
        <w:tc>
          <w:tcPr>
            <w:tcW w:w="2647" w:type="dxa"/>
            <w:vMerge w:val="restart"/>
            <w:shd w:val="clear" w:color="auto" w:fill="DEEBF7"/>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szCs w:val="21"/>
              </w:rPr>
            </w:pPr>
            <w:r>
              <w:rPr>
                <w:rFonts w:hint="eastAsia" w:ascii="仿宋_GB2312" w:hAnsi="仿宋_GB2312" w:eastAsia="仿宋_GB2312" w:cs="仿宋_GB2312"/>
                <w:b/>
                <w:szCs w:val="21"/>
              </w:rPr>
              <w:t>对应课程</w:t>
            </w:r>
          </w:p>
        </w:tc>
        <w:tc>
          <w:tcPr>
            <w:tcW w:w="3327" w:type="dxa"/>
            <w:gridSpan w:val="2"/>
            <w:shd w:val="clear" w:color="auto" w:fill="DEEBF7"/>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szCs w:val="21"/>
              </w:rPr>
            </w:pPr>
            <w:r>
              <w:rPr>
                <w:rFonts w:hint="eastAsia" w:ascii="仿宋_GB2312" w:hAnsi="仿宋_GB2312" w:eastAsia="仿宋_GB2312" w:cs="仿宋_GB2312"/>
                <w:b/>
                <w:bCs/>
                <w:color w:val="000000"/>
                <w:szCs w:val="21"/>
              </w:rPr>
              <w:t>主要设施设备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vMerge w:val="continue"/>
            <w:shd w:val="clear" w:color="auto" w:fill="DEEBF7"/>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szCs w:val="21"/>
              </w:rPr>
            </w:pPr>
          </w:p>
        </w:tc>
        <w:tc>
          <w:tcPr>
            <w:tcW w:w="1656" w:type="dxa"/>
            <w:vMerge w:val="continue"/>
            <w:shd w:val="clear" w:color="auto" w:fill="DEEBF7"/>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szCs w:val="21"/>
              </w:rPr>
            </w:pPr>
          </w:p>
        </w:tc>
        <w:tc>
          <w:tcPr>
            <w:tcW w:w="2647" w:type="dxa"/>
            <w:vMerge w:val="continue"/>
            <w:shd w:val="clear" w:color="auto" w:fill="DEEBF7"/>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szCs w:val="21"/>
              </w:rPr>
            </w:pPr>
          </w:p>
        </w:tc>
        <w:tc>
          <w:tcPr>
            <w:tcW w:w="2114" w:type="dxa"/>
            <w:shd w:val="clear" w:color="auto" w:fill="DEEBF7"/>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名称</w:t>
            </w:r>
          </w:p>
        </w:tc>
        <w:tc>
          <w:tcPr>
            <w:tcW w:w="1213" w:type="dxa"/>
            <w:shd w:val="clear" w:color="auto" w:fill="DEEBF7"/>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6"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656"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视觉化营销实训室</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70</w:t>
            </w:r>
            <w:r>
              <w:rPr>
                <w:rFonts w:hint="eastAsia" w:ascii="Segoe UI Symbol" w:hAnsi="Segoe UI Symbol" w:eastAsia="Segoe UI Symbol" w:cs="Segoe UI Symbol"/>
                <w:szCs w:val="21"/>
              </w:rPr>
              <w:t>㎡</w:t>
            </w:r>
          </w:p>
        </w:tc>
        <w:tc>
          <w:tcPr>
            <w:tcW w:w="2647"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商品拍摄与图片处理</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新媒体营销</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网店运营</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短视频视觉设计与制作</w:t>
            </w: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计算机</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45台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165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647"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影像处理系列软件</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6"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656"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新媒体营销综合实训室</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70</w:t>
            </w:r>
            <w:r>
              <w:rPr>
                <w:rFonts w:hint="eastAsia" w:ascii="Segoe UI Symbol" w:hAnsi="Segoe UI Symbol" w:eastAsia="Segoe UI Symbol" w:cs="Segoe UI Symbol"/>
                <w:szCs w:val="21"/>
              </w:rPr>
              <w:t>㎡</w:t>
            </w:r>
          </w:p>
        </w:tc>
        <w:tc>
          <w:tcPr>
            <w:tcW w:w="2647" w:type="dxa"/>
            <w:vMerge w:val="restar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新媒体运营</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网络推广</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新媒体营销</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直播销售</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短视频视觉设计与制作</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计算机</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45台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165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647" w:type="dxa"/>
            <w:vMerge w:val="continue"/>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电子商务模拟软件</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165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647" w:type="dxa"/>
            <w:vMerge w:val="continue"/>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服务器中心</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6"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656"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电子商务综合实训室</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70</w:t>
            </w:r>
            <w:r>
              <w:rPr>
                <w:rFonts w:hint="eastAsia" w:ascii="Segoe UI Symbol" w:hAnsi="Segoe UI Symbol" w:eastAsia="Segoe UI Symbol" w:cs="Segoe UI Symbol"/>
                <w:szCs w:val="21"/>
              </w:rPr>
              <w:t>㎡</w:t>
            </w:r>
          </w:p>
        </w:tc>
        <w:tc>
          <w:tcPr>
            <w:tcW w:w="2647" w:type="dxa"/>
            <w:vMerge w:val="restar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网络推广</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网络营销</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新媒体营销</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网店运营</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短视频视觉设计与制作</w:t>
            </w: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计算机</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50台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165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647" w:type="dxa"/>
            <w:vMerge w:val="continue"/>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电子商务综合实训模拟软件</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165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647" w:type="dxa"/>
            <w:vMerge w:val="continue"/>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服务器中心</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6"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1656"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电子商务客户服务综合实训室</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70</w:t>
            </w:r>
            <w:r>
              <w:rPr>
                <w:rFonts w:hint="eastAsia" w:ascii="Segoe UI Symbol" w:hAnsi="Segoe UI Symbol" w:eastAsia="Segoe UI Symbol" w:cs="Segoe UI Symbol"/>
                <w:szCs w:val="21"/>
              </w:rPr>
              <w:t>㎡</w:t>
            </w:r>
          </w:p>
        </w:tc>
        <w:tc>
          <w:tcPr>
            <w:tcW w:w="2647"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仿宋_GB2312" w:eastAsia="仿宋_GB2312"/>
              </w:rPr>
            </w:pPr>
            <w:r>
              <w:rPr>
                <w:rFonts w:hint="eastAsia" w:ascii="仿宋_GB2312" w:eastAsia="仿宋_GB2312"/>
              </w:rPr>
              <w:t>客户服务</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电子商务基础</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电子商务法律法规</w:t>
            </w: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计算机</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50台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165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647"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客户服务综合实训模拟软件</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6"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1656"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摄影综合实训室</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50</w:t>
            </w:r>
            <w:r>
              <w:rPr>
                <w:rFonts w:hint="eastAsia" w:ascii="Segoe UI Symbol" w:hAnsi="Segoe UI Symbol" w:eastAsia="Segoe UI Symbol" w:cs="Segoe UI Symbol"/>
                <w:szCs w:val="21"/>
              </w:rPr>
              <w:t>㎡</w:t>
            </w:r>
          </w:p>
        </w:tc>
        <w:tc>
          <w:tcPr>
            <w:tcW w:w="2647"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商品拍摄与素材编辑</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直播营销</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新媒体营销</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短视频视觉设计与制作</w:t>
            </w: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摄影设备（卡片机、柔光箱等）</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165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647"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电动背景幕布</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165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647"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模特</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6</w:t>
            </w:r>
          </w:p>
        </w:tc>
        <w:tc>
          <w:tcPr>
            <w:tcW w:w="1656"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直播实训室</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20㎡</w:t>
            </w:r>
          </w:p>
        </w:tc>
        <w:tc>
          <w:tcPr>
            <w:tcW w:w="2647"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直播营销</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新媒体营销</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直播运营实务</w:t>
            </w: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直播设备</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666"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7</w:t>
            </w:r>
          </w:p>
        </w:tc>
        <w:tc>
          <w:tcPr>
            <w:tcW w:w="1656"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电子商务生产性实训基地</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400㎡</w:t>
            </w:r>
          </w:p>
        </w:tc>
        <w:tc>
          <w:tcPr>
            <w:tcW w:w="2647"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市场营销</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网络推广</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新媒体营销</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短视频视觉设计与制作</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网上创业实战</w:t>
            </w: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办公电脑桌椅</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60套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66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165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647"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电脑</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60台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66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165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647"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液晶显示屏</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66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165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647"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商品展架</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4组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6"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8</w:t>
            </w:r>
          </w:p>
        </w:tc>
        <w:tc>
          <w:tcPr>
            <w:tcW w:w="1656"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理实一体化智慧教室</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100</w:t>
            </w:r>
            <w:r>
              <w:rPr>
                <w:rFonts w:hint="eastAsia" w:ascii="Segoe UI Symbol" w:hAnsi="Segoe UI Symbol" w:eastAsia="Segoe UI Symbol" w:cs="Segoe UI Symbol"/>
                <w:szCs w:val="21"/>
              </w:rPr>
              <w:t>㎡</w:t>
            </w:r>
          </w:p>
        </w:tc>
        <w:tc>
          <w:tcPr>
            <w:tcW w:w="2647"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网店运营</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短视频视觉设计与制作</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新媒体营销</w:t>
            </w: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电脑</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60台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165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647"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大屏</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165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647"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Zspace</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6"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9</w:t>
            </w:r>
          </w:p>
        </w:tc>
        <w:tc>
          <w:tcPr>
            <w:tcW w:w="1656"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电商录播创客空间</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40</w:t>
            </w:r>
            <w:r>
              <w:rPr>
                <w:rFonts w:hint="eastAsia" w:ascii="Segoe UI Symbol" w:hAnsi="Segoe UI Symbol" w:eastAsia="Segoe UI Symbol" w:cs="Segoe UI Symbol"/>
                <w:szCs w:val="21"/>
              </w:rPr>
              <w:t>㎡</w:t>
            </w:r>
          </w:p>
        </w:tc>
        <w:tc>
          <w:tcPr>
            <w:tcW w:w="2647" w:type="dxa"/>
            <w:vMerge w:val="restart"/>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电子商务基础</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新媒体营销</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网络推广</w:t>
            </w: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桌椅</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40套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1656"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647" w:type="dxa"/>
            <w:vMerge w:val="continue"/>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114"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大屏（内置电脑）</w:t>
            </w:r>
          </w:p>
        </w:tc>
        <w:tc>
          <w:tcPr>
            <w:tcW w:w="1213"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6" w:type="dxa"/>
            <w:vMerge w:val="restar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10</w:t>
            </w:r>
          </w:p>
        </w:tc>
        <w:tc>
          <w:tcPr>
            <w:tcW w:w="1656" w:type="dxa"/>
            <w:vMerge w:val="restar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飞行实训室</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80</w:t>
            </w:r>
            <w:r>
              <w:rPr>
                <w:rFonts w:hint="eastAsia" w:ascii="Segoe UI Symbol" w:hAnsi="Segoe UI Symbol" w:eastAsia="Segoe UI Symbol" w:cs="Segoe UI Symbol"/>
                <w:szCs w:val="21"/>
              </w:rPr>
              <w:t>㎡</w:t>
            </w:r>
          </w:p>
        </w:tc>
        <w:tc>
          <w:tcPr>
            <w:tcW w:w="2647" w:type="dxa"/>
            <w:vMerge w:val="restart"/>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短视频视觉设计与制作</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新媒体营销</w:t>
            </w:r>
          </w:p>
        </w:tc>
        <w:tc>
          <w:tcPr>
            <w:tcW w:w="2114"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无人机</w:t>
            </w:r>
          </w:p>
        </w:tc>
        <w:tc>
          <w:tcPr>
            <w:tcW w:w="1213"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6" w:type="dxa"/>
            <w:vMerge w:val="continue"/>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1656" w:type="dxa"/>
            <w:vMerge w:val="continue"/>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647" w:type="dxa"/>
            <w:vMerge w:val="continue"/>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p>
        </w:tc>
        <w:tc>
          <w:tcPr>
            <w:tcW w:w="2114"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大屏（内置电脑）</w:t>
            </w:r>
          </w:p>
        </w:tc>
        <w:tc>
          <w:tcPr>
            <w:tcW w:w="1213" w:type="dxa"/>
            <w:shd w:val="clear" w:color="auto" w:fill="auto"/>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2台</w:t>
            </w:r>
          </w:p>
        </w:tc>
      </w:tr>
    </w:tbl>
    <w:p>
      <w:pPr>
        <w:numPr>
          <w:ilvl w:val="0"/>
          <w:numId w:val="1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校外实训场所基本要求</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选择东港区融媒体中心、岚山区海洋特色企业、岚山区深海网箱养殖基地场景拍摄基地、日照市陆海空国防教育基地开展校企合作，建立校外实训基地，保障短期实践项目教学、岗位实习等教学活动的实施，提供教师企业挂职锻炼岗位，实现教师轮岗实践，提升教师“双师素质”。</w:t>
      </w:r>
    </w:p>
    <w:p>
      <w:pPr>
        <w:numPr>
          <w:ilvl w:val="0"/>
          <w:numId w:val="1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实习场所基本要求</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专业人才培养的需要和未来就业需求，实习基地应能提供网络推广、视觉设计、网店运营、电商直播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pPr>
        <w:numPr>
          <w:ilvl w:val="0"/>
          <w:numId w:val="10"/>
        </w:numPr>
        <w:spacing w:line="360" w:lineRule="auto"/>
        <w:outlineLvl w:val="1"/>
        <w:rPr>
          <w:rFonts w:hint="eastAsia" w:asciiTheme="minorEastAsia" w:hAnsiTheme="minorEastAsia" w:eastAsiaTheme="minorEastAsia" w:cstheme="minorEastAsia"/>
          <w:b/>
          <w:bCs/>
          <w:sz w:val="24"/>
          <w:szCs w:val="24"/>
        </w:rPr>
      </w:pPr>
      <w:bookmarkStart w:id="62" w:name="_Toc15762"/>
      <w:bookmarkStart w:id="63" w:name="_Toc117938459"/>
      <w:bookmarkStart w:id="64" w:name="_Toc109224864"/>
      <w:bookmarkStart w:id="65" w:name="_Toc135493335"/>
      <w:r>
        <w:rPr>
          <w:rFonts w:hint="eastAsia" w:asciiTheme="minorEastAsia" w:hAnsiTheme="minorEastAsia" w:eastAsiaTheme="minorEastAsia" w:cstheme="minorEastAsia"/>
          <w:b/>
          <w:bCs/>
          <w:sz w:val="24"/>
          <w:szCs w:val="24"/>
        </w:rPr>
        <w:t>教学资源</w:t>
      </w:r>
      <w:bookmarkEnd w:id="61"/>
      <w:bookmarkEnd w:id="62"/>
      <w:bookmarkEnd w:id="63"/>
      <w:bookmarkEnd w:id="64"/>
      <w:bookmarkEnd w:id="65"/>
    </w:p>
    <w:p>
      <w:pPr>
        <w:numPr>
          <w:ilvl w:val="0"/>
          <w:numId w:val="13"/>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教材选用要求</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职业院校教材管理办法》要求，学校建立由专业教师、行业企业专家和教研人员等参与的教材选用机制，完善教材选用制度。规范程序选用教材，优先选用国家规划教材、国家优秀教材和省级规划教材。专业课程教材应体现本行业新技术、新规范、新标准、新形态。</w:t>
      </w:r>
    </w:p>
    <w:p>
      <w:pPr>
        <w:numPr>
          <w:ilvl w:val="0"/>
          <w:numId w:val="13"/>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图书文献配备</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书资料配备能满足人才培养、专业建设、教科研等工作的需要。专业类图书文献主要包括：《电子商务法》《中国电子商务法律法规政策汇编》《电子商务概论》《电子商务优秀设计案例》《电子商务数据分析》等书籍，以及《电子商务》《商业经济研究》等专业学术期刊，同时使用现代化图书软件，实现高效管理，方便师生查询、借阅，做到及时更新，科学剔除。及时配置新经济、新技术、新工艺、新材料、新管理方式、新服务方式等相关的图书资料。</w:t>
      </w:r>
    </w:p>
    <w:p>
      <w:pPr>
        <w:numPr>
          <w:ilvl w:val="0"/>
          <w:numId w:val="13"/>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数字资源配备</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进信息技术与教学有机融合，加快建设智能化教学支持环境，建设能够满足多样化需求的数字资源。建设、配备与本专业有关的音视频素材、教学课件、数字化教学案例库、虚拟仿真软件、数字教材等专业教学资源库，种类丰富、形式多样、使用便捷、动态更新、满足教学。</w:t>
      </w:r>
    </w:p>
    <w:p>
      <w:pPr>
        <w:numPr>
          <w:ilvl w:val="0"/>
          <w:numId w:val="10"/>
        </w:numPr>
        <w:spacing w:line="360" w:lineRule="auto"/>
        <w:outlineLvl w:val="1"/>
        <w:rPr>
          <w:rFonts w:hint="eastAsia" w:asciiTheme="minorEastAsia" w:hAnsiTheme="minorEastAsia" w:eastAsiaTheme="minorEastAsia" w:cstheme="minorEastAsia"/>
          <w:b/>
          <w:bCs/>
          <w:sz w:val="24"/>
          <w:szCs w:val="24"/>
        </w:rPr>
      </w:pPr>
      <w:bookmarkStart w:id="66" w:name="_Toc129159869"/>
      <w:bookmarkStart w:id="67" w:name="_Toc16482"/>
      <w:r>
        <w:rPr>
          <w:rFonts w:hint="eastAsia" w:asciiTheme="minorEastAsia" w:hAnsiTheme="minorEastAsia" w:eastAsiaTheme="minorEastAsia" w:cstheme="minorEastAsia"/>
          <w:b/>
          <w:bCs/>
          <w:sz w:val="24"/>
          <w:szCs w:val="24"/>
        </w:rPr>
        <w:t>教学方法</w:t>
      </w:r>
      <w:bookmarkEnd w:id="66"/>
      <w:bookmarkEnd w:id="67"/>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共基础课程教学，根据教育部有关教育教学及“三教”改革要求，打造优质课堂，推动课堂革命，充分利用信息化教学手段，采用案例式、启发式、情景式等教学方法，调动学生学习积极性，为学生综合素质的提高、职业能力的形成和可持续发展奠定扎实基础。</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基础课采用项目教学、启发式教学、情景教学、案例教学等方法，利用集体讲解，师生对话，小组讨论、案例分析、模拟经营、企业参观等形式，配合教学软件、多媒体教学课件、数字化教学平台等教学工具，使学生更好地理解和掌握电子商务的各项基础技能，为以后的学习和创业进行铺垫。</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核心课及拓展课可以采用任务驱动式教学、理实一体化教学、项目教学等方法组织教学，运用启发式、探究式、讨论式、参与式教学形式，利用模拟情景分析、集体讲解、小组讨论、案例分析、分组训练、综合实践等形式，配合实验设备、多媒体教学课件、数字化教学资源、仿真模拟软件等手段，使学生体验电子商务的运营过程，达到能灵活运用电子商务技术、营销等方面技能的目的，提升教学效率。注重实践操作，运用小组合作、成果展示、技能比赛等方式开展教学活动。教学中应注重情感态度和职业道德的培养，将文化基础课相关知识与专业训练相融合，注重知识的应用。应突出学生的主体作用，使学生在“做中学、学中做”的工作过程体验中完成学习任务，培养学生分析问题、解决问题能力。</w:t>
      </w:r>
    </w:p>
    <w:p>
      <w:pPr>
        <w:numPr>
          <w:ilvl w:val="0"/>
          <w:numId w:val="10"/>
        </w:numPr>
        <w:spacing w:line="360" w:lineRule="auto"/>
        <w:outlineLvl w:val="1"/>
        <w:rPr>
          <w:rFonts w:hint="eastAsia" w:asciiTheme="minorEastAsia" w:hAnsiTheme="minorEastAsia" w:eastAsiaTheme="minorEastAsia" w:cstheme="minorEastAsia"/>
          <w:b/>
          <w:bCs/>
          <w:sz w:val="24"/>
          <w:szCs w:val="24"/>
        </w:rPr>
      </w:pPr>
      <w:bookmarkStart w:id="68" w:name="_Toc986"/>
      <w:bookmarkStart w:id="69" w:name="_Toc129159870"/>
      <w:r>
        <w:rPr>
          <w:rFonts w:hint="eastAsia" w:asciiTheme="minorEastAsia" w:hAnsiTheme="minorEastAsia" w:eastAsiaTheme="minorEastAsia" w:cstheme="minorEastAsia"/>
          <w:b/>
          <w:bCs/>
          <w:sz w:val="24"/>
          <w:szCs w:val="24"/>
        </w:rPr>
        <w:t>学习评价</w:t>
      </w:r>
      <w:bookmarkEnd w:id="68"/>
      <w:bookmarkEnd w:id="69"/>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专业培养目标和以人为本的发展理念，建立科学的评价标准。学习评价体现评价主体、评价方式、评价过程的多元化，广泛吸收学生、家长、行业企业和其他社会组织参与评价，实现评价方式多元化，积极探索多方参与的教学质量评价机制。</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1.以实习实训考核为主，以理论教学考核为辅，注重“能力融合”“技术综合”的现代考试观念，以职业资格认证与技能大赛为评价指标。</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asciiTheme="minorEastAsia" w:hAnsiTheme="minorEastAsia" w:eastAsiaTheme="minorEastAsia" w:cstheme="minorEastAsia"/>
          <w:sz w:val="24"/>
          <w:szCs w:val="24"/>
        </w:rPr>
        <w:t>考核方式采用阶段过程性考核与综合考核相结合的方式，可由随堂进行的技能考核、电子商务项目各个阶段结束点的综合考核组成。技能考核以电子商务项目中的具体技能任务为主，采用作业和练习的方式；综合考核采用作品展示等形式，以小组为单位，分别完成</w:t>
      </w:r>
      <w:r>
        <w:rPr>
          <w:rFonts w:hint="eastAsia" w:asciiTheme="minorEastAsia" w:hAnsiTheme="minorEastAsia" w:eastAsiaTheme="minorEastAsia" w:cstheme="minorEastAsia"/>
          <w:sz w:val="24"/>
          <w:szCs w:val="24"/>
        </w:rPr>
        <w:t>小组项目汇报展评。</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坚持过程性评价与结果性评价相结合、主观评价与客观评价相结合的评价原则。过程性评价，应从情感态度、岗位能力、职业行为等多方面对学生在整个学习过程中的表现进行测评；结果性评价应从完成项目的质量与效果、技能的熟练程度等方面进行评价。过程性评价内容包括：参加学习的课时、学习过程的参与程度、过程成果、技术操作与应用；结果性评价内容包括：小组汇报总结、项目实施报告、汇报演讲、项目答辩考核成绩等。</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asciiTheme="minorEastAsia" w:hAnsiTheme="minorEastAsia" w:eastAsiaTheme="minorEastAsia" w:cstheme="minorEastAsia"/>
          <w:sz w:val="24"/>
          <w:szCs w:val="24"/>
        </w:rPr>
        <w:t>理论教学考核采用课堂表现评价、作业评价、学习效果课堂展示、综合笔试等多元评价方法。考核比例及要求如下：</w:t>
      </w:r>
    </w:p>
    <w:p>
      <w:pPr>
        <w:spacing w:line="500" w:lineRule="exact"/>
        <w:ind w:firstLine="480" w:firstLineChars="2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①过程评价占60%。主要针对出勤情况、课堂提问、随堂检测等情况通过学生自评、学生互评、教师评价、企业评价方式对学生进行评价。</w:t>
      </w:r>
    </w:p>
    <w:p>
      <w:pPr>
        <w:spacing w:line="500" w:lineRule="exact"/>
        <w:ind w:firstLine="480" w:firstLineChars="2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②结果评价占30%。通过项目知识考核、岗位技能考核、职业素养考核、赛证标准考核等方式进行评价。</w:t>
      </w:r>
    </w:p>
    <w:p>
      <w:pPr>
        <w:spacing w:line="500" w:lineRule="exact"/>
        <w:ind w:firstLine="480" w:firstLineChars="2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③增值评价成绩占10%。通过大赛获奖、证书考取等方式进行评价。</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asciiTheme="minorEastAsia" w:hAnsiTheme="minorEastAsia" w:eastAsiaTheme="minorEastAsia" w:cstheme="minorEastAsia"/>
          <w:sz w:val="24"/>
          <w:szCs w:val="24"/>
        </w:rPr>
        <w:t>坚持以自我评价、同伴评价、教师评价、企业导师评价、教学系统评价、市场用户等形成的多元化的评价体系。坚持以学习能力、营销能力、创新能力、协作能力、操作能力等评价指标组成的多维度评价标准。</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asciiTheme="minorEastAsia" w:hAnsiTheme="minorEastAsia" w:eastAsiaTheme="minorEastAsia" w:cstheme="minorEastAsia"/>
          <w:sz w:val="24"/>
          <w:szCs w:val="24"/>
        </w:rPr>
        <w:t>考核评价应纳入一定的电商企业专业人员评价（课堂成果、岗位实习评价）。各阶段评价还要重视对学生遵纪守法、规范操作等职业素质形成，兼顾对节约意识，网络安全意识的考核，注重操作在实际中的应用。</w:t>
      </w:r>
    </w:p>
    <w:p>
      <w:pPr>
        <w:numPr>
          <w:ilvl w:val="0"/>
          <w:numId w:val="10"/>
        </w:numPr>
        <w:spacing w:line="360" w:lineRule="auto"/>
        <w:outlineLvl w:val="1"/>
        <w:rPr>
          <w:rFonts w:hint="eastAsia" w:asciiTheme="minorEastAsia" w:hAnsiTheme="minorEastAsia" w:eastAsiaTheme="minorEastAsia" w:cstheme="minorEastAsia"/>
          <w:b/>
          <w:bCs/>
          <w:sz w:val="24"/>
          <w:szCs w:val="24"/>
        </w:rPr>
      </w:pPr>
      <w:bookmarkStart w:id="70" w:name="_Toc135493336"/>
      <w:bookmarkStart w:id="71" w:name="_Toc109224865"/>
      <w:bookmarkStart w:id="72" w:name="_Toc117938460"/>
      <w:bookmarkStart w:id="73" w:name="_Toc31467"/>
      <w:r>
        <w:rPr>
          <w:rFonts w:hint="eastAsia" w:asciiTheme="minorEastAsia" w:hAnsiTheme="minorEastAsia" w:eastAsiaTheme="minorEastAsia" w:cstheme="minorEastAsia"/>
          <w:b/>
          <w:bCs/>
          <w:sz w:val="24"/>
          <w:szCs w:val="24"/>
        </w:rPr>
        <w:t>质量</w:t>
      </w:r>
      <w:bookmarkEnd w:id="70"/>
      <w:bookmarkEnd w:id="71"/>
      <w:bookmarkEnd w:id="72"/>
      <w:r>
        <w:rPr>
          <w:rFonts w:hint="eastAsia" w:asciiTheme="minorEastAsia" w:hAnsiTheme="minorEastAsia" w:eastAsiaTheme="minorEastAsia" w:cstheme="minorEastAsia"/>
          <w:b/>
          <w:bCs/>
          <w:sz w:val="24"/>
          <w:szCs w:val="24"/>
        </w:rPr>
        <w:t>管理</w:t>
      </w:r>
      <w:bookmarkEnd w:id="73"/>
    </w:p>
    <w:p>
      <w:pPr>
        <w:numPr>
          <w:ilvl w:val="0"/>
          <w:numId w:val="14"/>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建立专业人才培养质量保障机制</w:t>
      </w:r>
    </w:p>
    <w:p>
      <w:pPr>
        <w:spacing w:line="360" w:lineRule="auto"/>
        <w:ind w:firstLine="480" w:firstLineChars="200"/>
        <w:rPr>
          <w:rFonts w:ascii="仿宋_GB2312" w:hAnsi="Times New Roman" w:eastAsia="仿宋_GB2312"/>
          <w:sz w:val="24"/>
          <w:szCs w:val="24"/>
        </w:rPr>
      </w:pPr>
      <w:r>
        <w:rPr>
          <w:rFonts w:hint="eastAsia" w:asciiTheme="minorEastAsia" w:hAnsiTheme="minorEastAsia" w:eastAsiaTheme="minorEastAsia" w:cstheme="minorEastAsia"/>
          <w:sz w:val="24"/>
          <w:szCs w:val="24"/>
        </w:rPr>
        <w:t>建立专业人才培养质量保障机制，健全专业教学质量监控管理制度，改进结果评价，强化过程评价，探索增值评价，健全综合评价。完善人才培养方案、课程标准、课堂评价、实验教学、实习实训、毕业设计以及资源建设等质量标准建设，通过教学实施、过程监控、质量评价和持续改进，达到人才培养规格要求。</w:t>
      </w:r>
    </w:p>
    <w:p>
      <w:pPr>
        <w:numPr>
          <w:ilvl w:val="0"/>
          <w:numId w:val="14"/>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完善教学管理机制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pPr>
        <w:numPr>
          <w:ilvl w:val="0"/>
          <w:numId w:val="14"/>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建立专业建立集中备课制度</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专业教研组织应建立集中备课制度，定期召开教学研讨会议，利用评价分析结果有效改进专业教学，持续提高人才培养质量。</w:t>
      </w:r>
    </w:p>
    <w:p>
      <w:pPr>
        <w:numPr>
          <w:ilvl w:val="0"/>
          <w:numId w:val="14"/>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建立毕业生跟踪反馈机制及社会评价机制</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建立毕业生跟踪反馈机制及社会评价机制，并对生源情况、在校生学业水平、毕业生就业情况等进行分析，定期评价人才培养质量和培养目标达成情况。</w:t>
      </w:r>
    </w:p>
    <w:p>
      <w:pPr>
        <w:spacing w:line="500" w:lineRule="exact"/>
        <w:ind w:firstLine="480" w:firstLineChars="200"/>
        <w:rPr>
          <w:rFonts w:hint="eastAsia" w:asciiTheme="minorEastAsia" w:hAnsiTheme="minorEastAsia" w:eastAsiaTheme="minorEastAsia" w:cstheme="minorEastAsia"/>
          <w:sz w:val="24"/>
          <w:szCs w:val="24"/>
        </w:rPr>
      </w:pPr>
    </w:p>
    <w:p>
      <w:pPr>
        <w:pStyle w:val="2"/>
        <w:numPr>
          <w:ilvl w:val="0"/>
          <w:numId w:val="1"/>
        </w:numPr>
        <w:snapToGrid w:val="0"/>
        <w:spacing w:before="0" w:after="0" w:line="360" w:lineRule="auto"/>
        <w:rPr>
          <w:rFonts w:ascii="黑体" w:hAnsi="Times New Roman"/>
          <w:sz w:val="28"/>
          <w:szCs w:val="28"/>
        </w:rPr>
      </w:pPr>
      <w:bookmarkStart w:id="74" w:name="_Toc135493337"/>
      <w:bookmarkStart w:id="75" w:name="_Toc117938461"/>
      <w:bookmarkStart w:id="76" w:name="_Toc8635"/>
      <w:r>
        <w:rPr>
          <w:rFonts w:hint="eastAsia" w:ascii="黑体" w:hAnsi="Times New Roman"/>
          <w:sz w:val="28"/>
          <w:szCs w:val="28"/>
        </w:rPr>
        <w:t>毕业要求</w:t>
      </w:r>
      <w:bookmarkEnd w:id="74"/>
      <w:bookmarkEnd w:id="75"/>
      <w:bookmarkEnd w:id="76"/>
    </w:p>
    <w:p>
      <w:pPr>
        <w:numPr>
          <w:ilvl w:val="0"/>
          <w:numId w:val="15"/>
        </w:numPr>
        <w:spacing w:line="360" w:lineRule="auto"/>
        <w:outlineLvl w:val="1"/>
        <w:rPr>
          <w:rFonts w:hint="eastAsia" w:asciiTheme="minorEastAsia" w:hAnsiTheme="minorEastAsia" w:eastAsiaTheme="minorEastAsia" w:cstheme="minorEastAsia"/>
          <w:b/>
          <w:bCs/>
          <w:sz w:val="24"/>
          <w:szCs w:val="24"/>
        </w:rPr>
      </w:pPr>
      <w:bookmarkStart w:id="77" w:name="_Toc135493338"/>
      <w:bookmarkStart w:id="78" w:name="_Toc117938462"/>
      <w:bookmarkStart w:id="79" w:name="_Toc22513"/>
      <w:r>
        <w:rPr>
          <w:rFonts w:hint="eastAsia" w:asciiTheme="minorEastAsia" w:hAnsiTheme="minorEastAsia" w:eastAsiaTheme="minorEastAsia" w:cstheme="minorEastAsia"/>
          <w:b/>
          <w:bCs/>
          <w:sz w:val="24"/>
          <w:szCs w:val="24"/>
        </w:rPr>
        <w:t>学业考核要求</w:t>
      </w:r>
      <w:bookmarkEnd w:id="77"/>
      <w:bookmarkEnd w:id="78"/>
      <w:bookmarkEnd w:id="79"/>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通过规定年限的学习，修满电子商务专业人才培养方案所规定的学时学分，完成规定的教学活动，达到电子商务专业人才培养方案所规定的素质、知识和能力等方面要求。按照课程类型的不同，采用不同的考核与认证方法。职业核心能力课程和专业基本技能课程由校内教师考核；单列实习实训由校内、外指导教师共同考核，以校内为主；顶岗实习由校内外指导教师共同考核，以校外为主；专业核心技能课程采用“课程考核职业技能认证”的方式进行考核。单项课程成绩考核不足60分者不予合格，必修课必须重修。顶岗实习毕业生实习成绩不合格必须重修。通过综合素质评价平台考核要求，最低学分要求不低于172学分。</w:t>
      </w:r>
    </w:p>
    <w:p>
      <w:pPr>
        <w:spacing w:line="500" w:lineRule="exact"/>
        <w:rPr>
          <w:rFonts w:hint="eastAsia" w:asciiTheme="minorEastAsia" w:hAnsiTheme="minorEastAsia" w:eastAsiaTheme="minorEastAsia" w:cstheme="minorEastAsia"/>
          <w:sz w:val="24"/>
          <w:szCs w:val="24"/>
        </w:rPr>
      </w:pPr>
    </w:p>
    <w:p>
      <w:pPr>
        <w:pStyle w:val="4"/>
        <w:spacing w:line="360" w:lineRule="auto"/>
        <w:ind w:left="0" w:leftChars="0"/>
        <w:jc w:val="center"/>
        <w:rPr>
          <w:rFonts w:hint="eastAsia" w:asciiTheme="minorEastAsia" w:hAnsiTheme="minorEastAsia" w:eastAsiaTheme="minorEastAsia" w:cstheme="minorEastAsia"/>
          <w:sz w:val="24"/>
          <w:szCs w:val="24"/>
        </w:rPr>
      </w:pPr>
      <w:r>
        <w:rPr>
          <w:rFonts w:hint="eastAsia" w:ascii="方正仿宋简体" w:hAnsi="方正仿宋简体" w:eastAsia="方正仿宋简体" w:cs="方正仿宋简体"/>
          <w:sz w:val="24"/>
          <w:szCs w:val="24"/>
        </w:rPr>
        <w:t>表10  学业考核要求</w:t>
      </w:r>
    </w:p>
    <w:tbl>
      <w:tblPr>
        <w:tblStyle w:val="12"/>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587"/>
        <w:gridCol w:w="4719"/>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shd w:val="clear" w:color="auto" w:fill="DEEBF7"/>
            <w:vAlign w:val="center"/>
          </w:tcPr>
          <w:p>
            <w:pPr>
              <w:spacing w:line="360" w:lineRule="auto"/>
              <w:jc w:val="center"/>
              <w:rPr>
                <w:rFonts w:ascii="仿宋_GB2312" w:hAnsi="Times New Roman" w:eastAsia="仿宋_GB2312"/>
                <w:b/>
                <w:bCs/>
                <w:szCs w:val="21"/>
              </w:rPr>
            </w:pPr>
            <w:r>
              <w:rPr>
                <w:rFonts w:hint="eastAsia" w:ascii="仿宋_GB2312" w:hAnsi="Times New Roman" w:eastAsia="仿宋_GB2312"/>
                <w:b/>
                <w:bCs/>
                <w:szCs w:val="21"/>
              </w:rPr>
              <w:t>序号</w:t>
            </w:r>
          </w:p>
        </w:tc>
        <w:tc>
          <w:tcPr>
            <w:tcW w:w="2587" w:type="dxa"/>
            <w:shd w:val="clear" w:color="auto" w:fill="DEEBF7"/>
            <w:vAlign w:val="center"/>
          </w:tcPr>
          <w:p>
            <w:pPr>
              <w:spacing w:line="360" w:lineRule="auto"/>
              <w:jc w:val="center"/>
              <w:rPr>
                <w:rFonts w:ascii="仿宋_GB2312" w:hAnsi="Times New Roman" w:eastAsia="仿宋_GB2312"/>
                <w:b/>
                <w:bCs/>
                <w:szCs w:val="21"/>
              </w:rPr>
            </w:pPr>
            <w:r>
              <w:rPr>
                <w:rFonts w:hint="eastAsia" w:ascii="仿宋_GB2312" w:hAnsi="Times New Roman" w:eastAsia="仿宋_GB2312"/>
                <w:b/>
                <w:bCs/>
                <w:szCs w:val="21"/>
              </w:rPr>
              <w:t>毕业要求</w:t>
            </w:r>
          </w:p>
        </w:tc>
        <w:tc>
          <w:tcPr>
            <w:tcW w:w="4719" w:type="dxa"/>
            <w:shd w:val="clear" w:color="auto" w:fill="DEEBF7"/>
            <w:vAlign w:val="center"/>
          </w:tcPr>
          <w:p>
            <w:pPr>
              <w:spacing w:line="360" w:lineRule="auto"/>
              <w:jc w:val="center"/>
              <w:rPr>
                <w:rFonts w:ascii="仿宋_GB2312" w:hAnsi="Times New Roman" w:eastAsia="仿宋_GB2312"/>
                <w:b/>
                <w:bCs/>
                <w:szCs w:val="21"/>
              </w:rPr>
            </w:pPr>
            <w:r>
              <w:rPr>
                <w:rFonts w:hint="eastAsia" w:ascii="仿宋_GB2312" w:hAnsi="Times New Roman" w:eastAsia="仿宋_GB2312"/>
                <w:b/>
                <w:bCs/>
                <w:szCs w:val="21"/>
              </w:rPr>
              <w:t>具体内容</w:t>
            </w:r>
          </w:p>
        </w:tc>
        <w:tc>
          <w:tcPr>
            <w:tcW w:w="652" w:type="dxa"/>
            <w:shd w:val="clear" w:color="auto" w:fill="DEEBF7"/>
            <w:vAlign w:val="center"/>
          </w:tcPr>
          <w:p>
            <w:pPr>
              <w:spacing w:line="360" w:lineRule="auto"/>
              <w:jc w:val="center"/>
              <w:rPr>
                <w:rFonts w:ascii="仿宋_GB2312" w:hAnsi="Times New Roman" w:eastAsia="仿宋_GB2312"/>
                <w:b/>
                <w:bCs/>
                <w:szCs w:val="21"/>
              </w:rPr>
            </w:pPr>
            <w:r>
              <w:rPr>
                <w:rFonts w:hint="eastAsia" w:ascii="仿宋_GB2312" w:hAnsi="Times New Roman" w:eastAsia="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587" w:type="dxa"/>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课程与学分要求</w:t>
            </w:r>
          </w:p>
        </w:tc>
        <w:tc>
          <w:tcPr>
            <w:tcW w:w="4719" w:type="dxa"/>
            <w:vAlign w:val="center"/>
          </w:tcPr>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最低学分要求不低于172学分，否则不予毕业</w:t>
            </w:r>
          </w:p>
        </w:tc>
        <w:tc>
          <w:tcPr>
            <w:tcW w:w="652" w:type="dxa"/>
            <w:vAlign w:val="center"/>
          </w:tcPr>
          <w:p>
            <w:pPr>
              <w:spacing w:line="360" w:lineRule="auto"/>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2587" w:type="dxa"/>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职业类证书要求</w:t>
            </w:r>
          </w:p>
        </w:tc>
        <w:tc>
          <w:tcPr>
            <w:tcW w:w="4719" w:type="dxa"/>
            <w:vAlign w:val="center"/>
          </w:tcPr>
          <w:p>
            <w:pPr>
              <w:spacing w:line="360" w:lineRule="auto"/>
              <w:rPr>
                <w:rFonts w:hint="eastAsia" w:ascii="仿宋_GB2312" w:hAnsi="仿宋_GB2312" w:eastAsia="仿宋_GB2312" w:cs="仿宋_GB2312"/>
                <w:szCs w:val="21"/>
              </w:rPr>
            </w:pPr>
            <w:r>
              <w:rPr>
                <w:rFonts w:ascii="仿宋_GB2312" w:hAnsi="仿宋_GB2312" w:eastAsia="仿宋_GB2312" w:cs="仿宋_GB2312"/>
                <w:szCs w:val="21"/>
              </w:rPr>
              <w:t>至少取得1种职业资格证书或职业技能等级证书</w:t>
            </w:r>
          </w:p>
        </w:tc>
        <w:tc>
          <w:tcPr>
            <w:tcW w:w="652" w:type="dxa"/>
            <w:vAlign w:val="center"/>
          </w:tcPr>
          <w:p>
            <w:pPr>
              <w:spacing w:line="360" w:lineRule="auto"/>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2587" w:type="dxa"/>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计算机水平要求</w:t>
            </w:r>
          </w:p>
        </w:tc>
        <w:tc>
          <w:tcPr>
            <w:tcW w:w="4719" w:type="dxa"/>
            <w:vAlign w:val="center"/>
          </w:tcPr>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通过课程考试或参加全国计算机等级考试，取得相应证书或等同的其他证书</w:t>
            </w:r>
          </w:p>
        </w:tc>
        <w:tc>
          <w:tcPr>
            <w:tcW w:w="652" w:type="dxa"/>
            <w:vAlign w:val="center"/>
          </w:tcPr>
          <w:p>
            <w:pPr>
              <w:spacing w:line="360" w:lineRule="auto"/>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2587" w:type="dxa"/>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参加岗位实习并成绩合格</w:t>
            </w:r>
          </w:p>
        </w:tc>
        <w:tc>
          <w:tcPr>
            <w:tcW w:w="4719" w:type="dxa"/>
            <w:vAlign w:val="center"/>
          </w:tcPr>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参加岗位实习并成绩合格</w:t>
            </w:r>
          </w:p>
        </w:tc>
        <w:tc>
          <w:tcPr>
            <w:tcW w:w="652" w:type="dxa"/>
            <w:vAlign w:val="center"/>
          </w:tcPr>
          <w:p>
            <w:pPr>
              <w:spacing w:line="360" w:lineRule="auto"/>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2587" w:type="dxa"/>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综合素质要求</w:t>
            </w:r>
          </w:p>
        </w:tc>
        <w:tc>
          <w:tcPr>
            <w:tcW w:w="4719" w:type="dxa"/>
            <w:vAlign w:val="center"/>
          </w:tcPr>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通过综合素质评价平台考核要求</w:t>
            </w:r>
          </w:p>
        </w:tc>
        <w:tc>
          <w:tcPr>
            <w:tcW w:w="652" w:type="dxa"/>
            <w:vAlign w:val="center"/>
          </w:tcPr>
          <w:p>
            <w:pPr>
              <w:spacing w:line="360" w:lineRule="auto"/>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6</w:t>
            </w:r>
          </w:p>
        </w:tc>
        <w:tc>
          <w:tcPr>
            <w:tcW w:w="7958" w:type="dxa"/>
            <w:gridSpan w:val="3"/>
            <w:vAlign w:val="center"/>
          </w:tcPr>
          <w:p>
            <w:pPr>
              <w:tabs>
                <w:tab w:val="left" w:pos="2019"/>
              </w:tabs>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符合在校学生学籍管理规定中的相关要求</w:t>
            </w:r>
          </w:p>
        </w:tc>
      </w:tr>
    </w:tbl>
    <w:p>
      <w:pPr>
        <w:numPr>
          <w:ilvl w:val="0"/>
          <w:numId w:val="15"/>
        </w:numPr>
        <w:spacing w:line="360" w:lineRule="auto"/>
        <w:outlineLvl w:val="1"/>
        <w:rPr>
          <w:rFonts w:hint="eastAsia" w:asciiTheme="minorEastAsia" w:hAnsiTheme="minorEastAsia" w:eastAsiaTheme="minorEastAsia" w:cstheme="minorEastAsia"/>
          <w:b/>
          <w:bCs/>
          <w:sz w:val="24"/>
          <w:szCs w:val="24"/>
        </w:rPr>
      </w:pPr>
      <w:bookmarkStart w:id="80" w:name="_Toc2387"/>
      <w:bookmarkStart w:id="81" w:name="_Toc117938463"/>
      <w:bookmarkStart w:id="82" w:name="_Toc135493339"/>
      <w:r>
        <w:rPr>
          <w:rFonts w:hint="eastAsia" w:asciiTheme="minorEastAsia" w:hAnsiTheme="minorEastAsia" w:eastAsiaTheme="minorEastAsia" w:cstheme="minorEastAsia"/>
          <w:b/>
          <w:bCs/>
          <w:sz w:val="24"/>
          <w:szCs w:val="24"/>
        </w:rPr>
        <w:t>证书考取要求</w:t>
      </w:r>
      <w:bookmarkEnd w:id="80"/>
      <w:bookmarkEnd w:id="81"/>
      <w:bookmarkEnd w:id="82"/>
    </w:p>
    <w:p>
      <w:pPr>
        <w:spacing w:line="500" w:lineRule="exact"/>
        <w:ind w:firstLine="480" w:firstLineChars="200"/>
      </w:pPr>
      <w:r>
        <w:rPr>
          <w:rFonts w:hint="eastAsia" w:asciiTheme="minorEastAsia" w:hAnsiTheme="minorEastAsia" w:eastAsiaTheme="minorEastAsia" w:cstheme="minorEastAsia"/>
          <w:sz w:val="24"/>
          <w:szCs w:val="24"/>
        </w:rPr>
        <w:t>学生在校期间可考取电子商务师职业资格证书（初级）、1+X电子商务数据分析职业技能等级证书（初级）、电子商务师（四级/五级）、1+X新媒体运营职业技能等级证书（初级）、1+X电子商务网店运营职业技能等级证书（初级）、全国计算机等级考试证书等，根据相关政策规定，鼓励学校将职业技能等级标准有关内容及要求有机融入专业课程教学，优化专业人才培养方案。1+X证书制度的有效实施，可将课程体系、课程结构两方面与1+X证书相融通。在教学过程中，运用“嵌入法”、“补充法”“强化法”等教学方法，对比人才培养方案中“学习内容、知识能力要求、职业范围”等描述与证书内容和要求进行比对，直接与1+X证书进行对接，将证书的全部内容嵌入专业课程体系中，学生在完成校内课程的基础上，学习相关专业知识，通过对比、分析、划分大部分一致的课程，再对有差异的课程进行多种专业方向课程体系构建，以实践课的形式进行证书课程的补充，对某些重点职业需求的技能课程进行方法强化，增加专业课程体系的学时，并重新划分专业基础课及专业核心课。</w:t>
      </w:r>
    </w:p>
    <w:sectPr>
      <w:footerReference r:id="rId4" w:type="default"/>
      <w:pgSz w:w="11906" w:h="16838"/>
      <w:pgMar w:top="1440" w:right="1800" w:bottom="1440" w:left="1800" w:header="851" w:footer="62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237B35-7932-402F-B833-9422CB7679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A1F5664-CF11-43B7-A4A7-81C8EFA78E8D}"/>
  </w:font>
  <w:font w:name="方正小标宋_GBK">
    <w:altName w:val="微软雅黑"/>
    <w:panose1 w:val="00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8B34B95F-837D-41EE-8053-038AD5A88E4F}"/>
  </w:font>
  <w:font w:name="方正小标宋简体">
    <w:panose1 w:val="03000509000000000000"/>
    <w:charset w:val="86"/>
    <w:family w:val="auto"/>
    <w:pitch w:val="default"/>
    <w:sig w:usb0="00000001" w:usb1="080E0000" w:usb2="00000000" w:usb3="00000000" w:csb0="00040000" w:csb1="00000000"/>
    <w:embedRegular r:id="rId4" w:fontKey="{BAD6A35A-BD93-4AD1-9614-5C13AF1EB97E}"/>
  </w:font>
  <w:font w:name="方正仿宋简体">
    <w:altName w:val="微软雅黑"/>
    <w:panose1 w:val="00000000000000000000"/>
    <w:charset w:val="86"/>
    <w:family w:val="auto"/>
    <w:pitch w:val="default"/>
    <w:sig w:usb0="00000000" w:usb1="00000000" w:usb2="00000012" w:usb3="00000000" w:csb0="00040001" w:csb1="00000000"/>
    <w:embedRegular r:id="rId5" w:fontKey="{16F33AED-CF2A-4450-922C-530F048A4C68}"/>
  </w:font>
  <w:font w:name="楷体_GB2312">
    <w:panose1 w:val="02010609030101010101"/>
    <w:charset w:val="86"/>
    <w:family w:val="modern"/>
    <w:pitch w:val="default"/>
    <w:sig w:usb0="00000001" w:usb1="080E0000" w:usb2="00000000" w:usb3="00000000" w:csb0="00040000" w:csb1="00000000"/>
    <w:embedRegular r:id="rId6" w:fontKey="{DB4778FF-24C8-434F-8159-42516AE1D248}"/>
  </w:font>
  <w:font w:name="楷体">
    <w:panose1 w:val="02010609060101010101"/>
    <w:charset w:val="86"/>
    <w:family w:val="modern"/>
    <w:pitch w:val="default"/>
    <w:sig w:usb0="800002BF" w:usb1="38CF7CFA" w:usb2="00000016" w:usb3="00000000" w:csb0="00040001" w:csb1="00000000"/>
    <w:embedRegular r:id="rId7" w:fontKey="{32708C3F-0FE9-47A4-8B61-A4F3BB38BAA5}"/>
  </w:font>
  <w:font w:name="Segoe UI Symbol">
    <w:panose1 w:val="020B0502040204020203"/>
    <w:charset w:val="00"/>
    <w:family w:val="swiss"/>
    <w:pitch w:val="default"/>
    <w:sig w:usb0="800001E3" w:usb1="1200FFEF" w:usb2="00040000" w:usb3="04000000" w:csb0="00000001" w:csb1="40000000"/>
    <w:embedRegular r:id="rId8" w:fontKey="{AA68EFAC-86D7-47C3-8F31-34CF355FD0F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fldChar w:fldCharType="begin"/>
                          </w:r>
                          <w:r>
                            <w:instrText xml:space="preserve">PAGE   \* MERGEFORMAT</w:instrText>
                          </w:r>
                          <w:r>
                            <w:fldChar w:fldCharType="separate"/>
                          </w:r>
                          <w:r>
                            <w:rPr>
                              <w:lang w:val="zh-CN"/>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15</w:t>
                    </w:r>
                    <w:r>
                      <w:fldChar w:fldCharType="end"/>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03CA6F"/>
    <w:multiLevelType w:val="singleLevel"/>
    <w:tmpl w:val="C603CA6F"/>
    <w:lvl w:ilvl="0" w:tentative="0">
      <w:start w:val="1"/>
      <w:numFmt w:val="chineseCounting"/>
      <w:suff w:val="nothing"/>
      <w:lvlText w:val="（%1）"/>
      <w:lvlJc w:val="left"/>
      <w:pPr>
        <w:ind w:left="0" w:firstLine="420"/>
      </w:pPr>
      <w:rPr>
        <w:rFonts w:hint="eastAsia"/>
      </w:rPr>
    </w:lvl>
  </w:abstractNum>
  <w:abstractNum w:abstractNumId="1">
    <w:nsid w:val="EAB66644"/>
    <w:multiLevelType w:val="singleLevel"/>
    <w:tmpl w:val="EAB66644"/>
    <w:lvl w:ilvl="0" w:tentative="0">
      <w:start w:val="1"/>
      <w:numFmt w:val="decimal"/>
      <w:suff w:val="space"/>
      <w:lvlText w:val="%1."/>
      <w:lvlJc w:val="left"/>
      <w:pPr>
        <w:ind w:left="1055" w:hanging="425"/>
      </w:pPr>
      <w:rPr>
        <w:rFonts w:hint="default"/>
      </w:rPr>
    </w:lvl>
  </w:abstractNum>
  <w:abstractNum w:abstractNumId="2">
    <w:nsid w:val="EF5C945A"/>
    <w:multiLevelType w:val="singleLevel"/>
    <w:tmpl w:val="EF5C945A"/>
    <w:lvl w:ilvl="0" w:tentative="0">
      <w:start w:val="1"/>
      <w:numFmt w:val="chineseCounting"/>
      <w:suff w:val="nothing"/>
      <w:lvlText w:val="（%1）"/>
      <w:lvlJc w:val="left"/>
      <w:pPr>
        <w:ind w:left="0" w:firstLine="420"/>
      </w:pPr>
      <w:rPr>
        <w:rFonts w:hint="eastAsia"/>
      </w:rPr>
    </w:lvl>
  </w:abstractNum>
  <w:abstractNum w:abstractNumId="3">
    <w:nsid w:val="F53E785E"/>
    <w:multiLevelType w:val="singleLevel"/>
    <w:tmpl w:val="F53E785E"/>
    <w:lvl w:ilvl="0" w:tentative="0">
      <w:start w:val="1"/>
      <w:numFmt w:val="decimal"/>
      <w:suff w:val="space"/>
      <w:lvlText w:val="%1."/>
      <w:lvlJc w:val="left"/>
      <w:pPr>
        <w:ind w:left="1055" w:hanging="425"/>
      </w:pPr>
      <w:rPr>
        <w:rFonts w:hint="default"/>
      </w:rPr>
    </w:lvl>
  </w:abstractNum>
  <w:abstractNum w:abstractNumId="4">
    <w:nsid w:val="010CF87C"/>
    <w:multiLevelType w:val="singleLevel"/>
    <w:tmpl w:val="010CF87C"/>
    <w:lvl w:ilvl="0" w:tentative="0">
      <w:start w:val="1"/>
      <w:numFmt w:val="chineseCounting"/>
      <w:suff w:val="nothing"/>
      <w:lvlText w:val="（%1）"/>
      <w:lvlJc w:val="left"/>
      <w:pPr>
        <w:ind w:left="0" w:firstLine="420"/>
      </w:pPr>
      <w:rPr>
        <w:rFonts w:hint="eastAsia"/>
      </w:rPr>
    </w:lvl>
  </w:abstractNum>
  <w:abstractNum w:abstractNumId="5">
    <w:nsid w:val="211C692C"/>
    <w:multiLevelType w:val="multilevel"/>
    <w:tmpl w:val="211C692C"/>
    <w:lvl w:ilvl="0" w:tentative="0">
      <w:start w:val="1"/>
      <w:numFmt w:val="decimal"/>
      <w:suff w:val="nothing"/>
      <w:lvlText w:val="（%1）"/>
      <w:lvlJc w:val="left"/>
      <w:pPr>
        <w:ind w:left="1134" w:hanging="607"/>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0FA1D7"/>
    <w:multiLevelType w:val="singleLevel"/>
    <w:tmpl w:val="240FA1D7"/>
    <w:lvl w:ilvl="0" w:tentative="0">
      <w:start w:val="1"/>
      <w:numFmt w:val="chineseCounting"/>
      <w:suff w:val="nothing"/>
      <w:lvlText w:val="（%1）"/>
      <w:lvlJc w:val="left"/>
      <w:pPr>
        <w:ind w:left="0" w:firstLine="420"/>
      </w:pPr>
      <w:rPr>
        <w:rFonts w:hint="eastAsia"/>
      </w:rPr>
    </w:lvl>
  </w:abstractNum>
  <w:abstractNum w:abstractNumId="7">
    <w:nsid w:val="31BE08C1"/>
    <w:multiLevelType w:val="multilevel"/>
    <w:tmpl w:val="31BE08C1"/>
    <w:lvl w:ilvl="0" w:tentative="0">
      <w:start w:val="1"/>
      <w:numFmt w:val="decimal"/>
      <w:suff w:val="nothing"/>
      <w:lvlText w:val="（%1）"/>
      <w:lvlJc w:val="left"/>
      <w:pPr>
        <w:ind w:left="1134" w:hanging="606"/>
      </w:pPr>
      <w:rPr>
        <w:rFonts w:hint="default"/>
      </w:rPr>
    </w:lvl>
    <w:lvl w:ilvl="1" w:tentative="0">
      <w:start w:val="1"/>
      <w:numFmt w:val="lowerLetter"/>
      <w:lvlText w:val="%2)"/>
      <w:lvlJc w:val="left"/>
      <w:pPr>
        <w:ind w:left="1368" w:hanging="420"/>
      </w:pPr>
    </w:lvl>
    <w:lvl w:ilvl="2" w:tentative="0">
      <w:start w:val="1"/>
      <w:numFmt w:val="lowerRoman"/>
      <w:lvlText w:val="%3."/>
      <w:lvlJc w:val="right"/>
      <w:pPr>
        <w:ind w:left="1788" w:hanging="420"/>
      </w:pPr>
    </w:lvl>
    <w:lvl w:ilvl="3" w:tentative="0">
      <w:start w:val="1"/>
      <w:numFmt w:val="decimal"/>
      <w:lvlText w:val="%4."/>
      <w:lvlJc w:val="left"/>
      <w:pPr>
        <w:ind w:left="2208" w:hanging="420"/>
      </w:pPr>
    </w:lvl>
    <w:lvl w:ilvl="4" w:tentative="0">
      <w:start w:val="1"/>
      <w:numFmt w:val="lowerLetter"/>
      <w:lvlText w:val="%5)"/>
      <w:lvlJc w:val="left"/>
      <w:pPr>
        <w:ind w:left="2628" w:hanging="420"/>
      </w:pPr>
    </w:lvl>
    <w:lvl w:ilvl="5" w:tentative="0">
      <w:start w:val="1"/>
      <w:numFmt w:val="lowerRoman"/>
      <w:lvlText w:val="%6."/>
      <w:lvlJc w:val="right"/>
      <w:pPr>
        <w:ind w:left="3048" w:hanging="420"/>
      </w:pPr>
    </w:lvl>
    <w:lvl w:ilvl="6" w:tentative="0">
      <w:start w:val="1"/>
      <w:numFmt w:val="decimal"/>
      <w:lvlText w:val="%7."/>
      <w:lvlJc w:val="left"/>
      <w:pPr>
        <w:ind w:left="3468" w:hanging="420"/>
      </w:pPr>
    </w:lvl>
    <w:lvl w:ilvl="7" w:tentative="0">
      <w:start w:val="1"/>
      <w:numFmt w:val="lowerLetter"/>
      <w:lvlText w:val="%8)"/>
      <w:lvlJc w:val="left"/>
      <w:pPr>
        <w:ind w:left="3888" w:hanging="420"/>
      </w:pPr>
    </w:lvl>
    <w:lvl w:ilvl="8" w:tentative="0">
      <w:start w:val="1"/>
      <w:numFmt w:val="lowerRoman"/>
      <w:lvlText w:val="%9."/>
      <w:lvlJc w:val="right"/>
      <w:pPr>
        <w:ind w:left="4308" w:hanging="420"/>
      </w:pPr>
    </w:lvl>
  </w:abstractNum>
  <w:abstractNum w:abstractNumId="8">
    <w:nsid w:val="37A9FBC5"/>
    <w:multiLevelType w:val="singleLevel"/>
    <w:tmpl w:val="37A9FBC5"/>
    <w:lvl w:ilvl="0" w:tentative="0">
      <w:start w:val="1"/>
      <w:numFmt w:val="decimal"/>
      <w:suff w:val="space"/>
      <w:lvlText w:val="%1."/>
      <w:lvlJc w:val="left"/>
      <w:pPr>
        <w:ind w:left="1055" w:hanging="425"/>
      </w:pPr>
      <w:rPr>
        <w:rFonts w:hint="default"/>
      </w:rPr>
    </w:lvl>
  </w:abstractNum>
  <w:abstractNum w:abstractNumId="9">
    <w:nsid w:val="48585811"/>
    <w:multiLevelType w:val="singleLevel"/>
    <w:tmpl w:val="48585811"/>
    <w:lvl w:ilvl="0" w:tentative="0">
      <w:start w:val="1"/>
      <w:numFmt w:val="decimal"/>
      <w:lvlText w:val="(%1)"/>
      <w:lvlJc w:val="left"/>
      <w:pPr>
        <w:ind w:left="1055" w:hanging="425"/>
      </w:pPr>
      <w:rPr>
        <w:rFonts w:hint="default" w:asciiTheme="minorEastAsia" w:hAnsiTheme="minorEastAsia" w:eastAsiaTheme="minorEastAsia" w:cstheme="minorEastAsia"/>
      </w:rPr>
    </w:lvl>
  </w:abstractNum>
  <w:abstractNum w:abstractNumId="10">
    <w:nsid w:val="4D9AD829"/>
    <w:multiLevelType w:val="singleLevel"/>
    <w:tmpl w:val="4D9AD829"/>
    <w:lvl w:ilvl="0" w:tentative="0">
      <w:start w:val="1"/>
      <w:numFmt w:val="chineseCounting"/>
      <w:suff w:val="nothing"/>
      <w:lvlText w:val="（%1）"/>
      <w:lvlJc w:val="left"/>
      <w:rPr>
        <w:rFonts w:hint="eastAsia"/>
      </w:rPr>
    </w:lvl>
  </w:abstractNum>
  <w:abstractNum w:abstractNumId="11">
    <w:nsid w:val="646E80B4"/>
    <w:multiLevelType w:val="singleLevel"/>
    <w:tmpl w:val="646E80B4"/>
    <w:lvl w:ilvl="0" w:tentative="0">
      <w:start w:val="1"/>
      <w:numFmt w:val="decimal"/>
      <w:suff w:val="space"/>
      <w:lvlText w:val="%1."/>
      <w:lvlJc w:val="left"/>
      <w:pPr>
        <w:ind w:left="845" w:hanging="425"/>
      </w:pPr>
      <w:rPr>
        <w:rFonts w:hint="default"/>
      </w:rPr>
    </w:lvl>
  </w:abstractNum>
  <w:abstractNum w:abstractNumId="12">
    <w:nsid w:val="6C3C3275"/>
    <w:multiLevelType w:val="singleLevel"/>
    <w:tmpl w:val="6C3C3275"/>
    <w:lvl w:ilvl="0" w:tentative="0">
      <w:start w:val="1"/>
      <w:numFmt w:val="decimal"/>
      <w:suff w:val="space"/>
      <w:lvlText w:val="%1."/>
      <w:lvlJc w:val="left"/>
      <w:pPr>
        <w:ind w:left="1055" w:hanging="425"/>
      </w:pPr>
      <w:rPr>
        <w:rFonts w:hint="default"/>
      </w:rPr>
    </w:lvl>
  </w:abstractNum>
  <w:abstractNum w:abstractNumId="13">
    <w:nsid w:val="716AE2F7"/>
    <w:multiLevelType w:val="singleLevel"/>
    <w:tmpl w:val="716AE2F7"/>
    <w:lvl w:ilvl="0" w:tentative="0">
      <w:start w:val="1"/>
      <w:numFmt w:val="chineseCounting"/>
      <w:suff w:val="nothing"/>
      <w:lvlText w:val="%1、"/>
      <w:lvlJc w:val="left"/>
      <w:pPr>
        <w:ind w:left="0" w:firstLine="420"/>
      </w:pPr>
      <w:rPr>
        <w:rFonts w:hint="eastAsia"/>
      </w:rPr>
    </w:lvl>
  </w:abstractNum>
  <w:abstractNum w:abstractNumId="14">
    <w:nsid w:val="767AF964"/>
    <w:multiLevelType w:val="singleLevel"/>
    <w:tmpl w:val="767AF964"/>
    <w:lvl w:ilvl="0" w:tentative="0">
      <w:start w:val="1"/>
      <w:numFmt w:val="decimal"/>
      <w:suff w:val="space"/>
      <w:lvlText w:val="%1."/>
      <w:lvlJc w:val="left"/>
      <w:pPr>
        <w:ind w:left="1055" w:hanging="425"/>
      </w:pPr>
      <w:rPr>
        <w:rFonts w:hint="default"/>
      </w:rPr>
    </w:lvl>
  </w:abstractNum>
  <w:num w:numId="1">
    <w:abstractNumId w:val="13"/>
  </w:num>
  <w:num w:numId="2">
    <w:abstractNumId w:val="0"/>
  </w:num>
  <w:num w:numId="3">
    <w:abstractNumId w:val="12"/>
  </w:num>
  <w:num w:numId="4">
    <w:abstractNumId w:val="9"/>
  </w:num>
  <w:num w:numId="5">
    <w:abstractNumId w:val="7"/>
  </w:num>
  <w:num w:numId="6">
    <w:abstractNumId w:val="5"/>
  </w:num>
  <w:num w:numId="7">
    <w:abstractNumId w:val="2"/>
  </w:num>
  <w:num w:numId="8">
    <w:abstractNumId w:val="14"/>
  </w:num>
  <w:num w:numId="9">
    <w:abstractNumId w:val="10"/>
  </w:num>
  <w:num w:numId="10">
    <w:abstractNumId w:val="6"/>
  </w:num>
  <w:num w:numId="11">
    <w:abstractNumId w:val="8"/>
  </w:num>
  <w:num w:numId="12">
    <w:abstractNumId w:val="3"/>
  </w:num>
  <w:num w:numId="13">
    <w:abstractNumId w:val="1"/>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07610A"/>
    <w:rsid w:val="003A6075"/>
    <w:rsid w:val="0079051B"/>
    <w:rsid w:val="00920A89"/>
    <w:rsid w:val="009B1FE6"/>
    <w:rsid w:val="009D3565"/>
    <w:rsid w:val="00C31BAD"/>
    <w:rsid w:val="00C77F09"/>
    <w:rsid w:val="027F0426"/>
    <w:rsid w:val="0C09036A"/>
    <w:rsid w:val="169E79F7"/>
    <w:rsid w:val="2D9637E0"/>
    <w:rsid w:val="31AB491E"/>
    <w:rsid w:val="4807610A"/>
    <w:rsid w:val="4C70547B"/>
    <w:rsid w:val="66126E96"/>
    <w:rsid w:val="71AB593D"/>
    <w:rsid w:val="741A70CD"/>
    <w:rsid w:val="75181898"/>
    <w:rsid w:val="7E4F2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jc w:val="left"/>
      <w:outlineLvl w:val="0"/>
    </w:pPr>
    <w:rPr>
      <w:rFonts w:eastAsia="黑体"/>
      <w:bCs/>
      <w:kern w:val="44"/>
      <w:sz w:val="32"/>
      <w:szCs w:val="44"/>
    </w:rPr>
  </w:style>
  <w:style w:type="paragraph" w:styleId="3">
    <w:name w:val="heading 3"/>
    <w:basedOn w:val="1"/>
    <w:next w:val="1"/>
    <w:qFormat/>
    <w:uiPriority w:val="9"/>
    <w:pPr>
      <w:widowControl/>
      <w:jc w:val="center"/>
      <w:outlineLvl w:val="2"/>
    </w:pPr>
    <w:rPr>
      <w:rFonts w:ascii="宋体" w:hAnsi="宋体" w:eastAsia="方正小标宋_GBK" w:cs="宋体"/>
      <w:bCs/>
      <w:kern w:val="0"/>
      <w:sz w:val="32"/>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index 8"/>
    <w:basedOn w:val="1"/>
    <w:next w:val="1"/>
    <w:unhideWhenUsed/>
    <w:qFormat/>
    <w:uiPriority w:val="99"/>
    <w:pPr>
      <w:ind w:left="1400" w:leftChars="1400"/>
    </w:pPr>
  </w:style>
  <w:style w:type="paragraph" w:styleId="5">
    <w:name w:val="Normal Indent"/>
    <w:basedOn w:val="1"/>
    <w:unhideWhenUsed/>
    <w:qFormat/>
    <w:uiPriority w:val="99"/>
    <w:pPr>
      <w:ind w:firstLine="420" w:firstLineChars="200"/>
    </w:pPr>
    <w:rPr>
      <w:rFonts w:eastAsia="仿宋_GB2312"/>
    </w:rPr>
  </w:style>
  <w:style w:type="paragraph" w:styleId="6">
    <w:name w:val="annotation text"/>
    <w:basedOn w:val="1"/>
    <w:link w:val="17"/>
    <w:unhideWhenUsed/>
    <w:qFormat/>
    <w:uiPriority w:val="0"/>
    <w:pPr>
      <w:jc w:val="left"/>
    </w:pPr>
    <w:rPr>
      <w:rFonts w:ascii="Times New Roman" w:hAnsi="Times New Roman" w:eastAsia="仿宋_GB2312"/>
      <w:sz w:val="32"/>
    </w:rPr>
  </w:style>
  <w:style w:type="paragraph" w:styleId="7">
    <w:name w:val="footer"/>
    <w:basedOn w:val="1"/>
    <w:qFormat/>
    <w:uiPriority w:val="99"/>
    <w:pPr>
      <w:tabs>
        <w:tab w:val="center" w:pos="4153"/>
        <w:tab w:val="right" w:pos="8306"/>
      </w:tabs>
      <w:snapToGrid w:val="0"/>
      <w:jc w:val="left"/>
    </w:pPr>
    <w:rPr>
      <w:rFonts w:ascii="Times New Roman" w:hAnsi="Times New Roman" w:eastAsia="仿宋_GB2312"/>
      <w:sz w:val="18"/>
      <w:szCs w:val="18"/>
    </w:rPr>
  </w:style>
  <w:style w:type="paragraph" w:styleId="8">
    <w:name w:val="toc 1"/>
    <w:basedOn w:val="1"/>
    <w:next w:val="1"/>
    <w:qFormat/>
    <w:uiPriority w:val="39"/>
    <w:rPr>
      <w:rFonts w:ascii="Times New Roman" w:hAnsi="Times New Roman" w:eastAsia="仿宋_GB2312"/>
      <w:szCs w:val="24"/>
    </w:rPr>
  </w:style>
  <w:style w:type="paragraph" w:styleId="9">
    <w:name w:val="toc 2"/>
    <w:basedOn w:val="1"/>
    <w:next w:val="1"/>
    <w:qFormat/>
    <w:uiPriority w:val="39"/>
    <w:pPr>
      <w:ind w:left="420" w:leftChars="200"/>
    </w:pPr>
    <w:rPr>
      <w:rFonts w:ascii="Times New Roman" w:hAnsi="Times New Roman" w:eastAsia="仿宋_GB2312" w:cs="宋体"/>
      <w:szCs w:val="21"/>
    </w:rPr>
  </w:style>
  <w:style w:type="paragraph" w:styleId="10">
    <w:name w:val="annotation subject"/>
    <w:basedOn w:val="6"/>
    <w:next w:val="6"/>
    <w:link w:val="18"/>
    <w:qFormat/>
    <w:uiPriority w:val="0"/>
    <w:rPr>
      <w:rFonts w:ascii="Calibri" w:hAnsi="Calibri" w:eastAsia="宋体"/>
      <w:b/>
      <w:bCs/>
      <w:sz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annotation reference"/>
    <w:basedOn w:val="13"/>
    <w:qFormat/>
    <w:uiPriority w:val="0"/>
    <w:rPr>
      <w:sz w:val="21"/>
      <w:szCs w:val="21"/>
    </w:rPr>
  </w:style>
  <w:style w:type="paragraph" w:styleId="15">
    <w:name w:val="List Paragraph"/>
    <w:basedOn w:val="1"/>
    <w:qFormat/>
    <w:uiPriority w:val="99"/>
    <w:pPr>
      <w:ind w:firstLine="420" w:firstLineChars="200"/>
    </w:pPr>
    <w:rPr>
      <w:rFonts w:ascii="Times New Roman" w:hAnsi="Times New Roman" w:eastAsia="仿宋_GB2312"/>
      <w:szCs w:val="20"/>
    </w:rPr>
  </w:style>
  <w:style w:type="paragraph" w:customStyle="1" w:styleId="16">
    <w:name w:val="一、"/>
    <w:basedOn w:val="1"/>
    <w:qFormat/>
    <w:uiPriority w:val="0"/>
    <w:pPr>
      <w:widowControl/>
      <w:jc w:val="center"/>
    </w:pPr>
    <w:rPr>
      <w:rFonts w:eastAsia="仿宋_GB2312"/>
      <w:kern w:val="0"/>
      <w:sz w:val="18"/>
      <w:szCs w:val="20"/>
      <w:lang w:eastAsia="en-US" w:bidi="en-US"/>
    </w:rPr>
  </w:style>
  <w:style w:type="character" w:customStyle="1" w:styleId="17">
    <w:name w:val="批注文字 字符"/>
    <w:basedOn w:val="13"/>
    <w:link w:val="6"/>
    <w:qFormat/>
    <w:uiPriority w:val="0"/>
    <w:rPr>
      <w:rFonts w:ascii="Times New Roman" w:hAnsi="Times New Roman" w:eastAsia="仿宋_GB2312" w:cs="Times New Roman"/>
      <w:kern w:val="2"/>
      <w:sz w:val="32"/>
      <w:szCs w:val="22"/>
    </w:rPr>
  </w:style>
  <w:style w:type="character" w:customStyle="1" w:styleId="18">
    <w:name w:val="批注主题 字符"/>
    <w:basedOn w:val="17"/>
    <w:link w:val="10"/>
    <w:qFormat/>
    <w:uiPriority w:val="0"/>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2184</Words>
  <Characters>2277</Characters>
  <Lines>109</Lines>
  <Paragraphs>30</Paragraphs>
  <TotalTime>22</TotalTime>
  <ScaleCrop>false</ScaleCrop>
  <LinksUpToDate>false</LinksUpToDate>
  <CharactersWithSpaces>2324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2025-07-17T06:48:00Z</dcterms:created>
  <dc:creator>.</dc:creator>
  <cp:lastModifiedBy>Administrator</cp:lastModifiedBy>
  <dcterms:modified xsi:type="dcterms:W3CDTF">2025-07-17T08:11:55Z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A45EDB8BEDA94CFFBE6FBC96104327E7_13</vt:lpwstr>
  </property>
  <property fmtid="{D5CDD505-2E9C-101B-9397-08002B2CF9AE}" pid="4" name="KSOTemplateDocerSaveRecord">
    <vt:lpwstr>eyJoZGlkIjoiOTMwM2Q1NWU3OWY5YjQwNDczMWUyYTNlMDdmZmI5MzgiLCJ1c2VySWQiOiIyODA5NjM5NTEifQ==</vt:lpwstr>
  </property>
</Properties>
</file>